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E73AA">
      <w:pPr>
        <w:spacing w:line="240" w:lineRule="auto"/>
        <w:jc w:val="center"/>
        <w:rPr>
          <w:rFonts w:hint="eastAsia" w:ascii="Times New Roman" w:hAnsi="Times New Roman" w:eastAsia="Times New Roman" w:cs="Times New Roman"/>
          <w:b/>
          <w:color w:val="auto"/>
          <w:sz w:val="32"/>
        </w:rPr>
      </w:pPr>
      <w:bookmarkStart w:id="0" w:name="_GoBack"/>
      <w:bookmarkEnd w:id="0"/>
      <w:r>
        <w:rPr>
          <w:rFonts w:hint="eastAsia" w:eastAsia="宋体" w:cs="Times New Roman"/>
          <w:b/>
          <w:color w:val="auto"/>
          <w:sz w:val="32"/>
          <w:lang w:eastAsia="zh-CN"/>
        </w:rPr>
        <w:t>苏通练习精品卷</w:t>
      </w:r>
      <w:r>
        <w:rPr>
          <w:rFonts w:hint="eastAsia" w:ascii="Times New Roman" w:hAnsi="Times New Roman" w:eastAsia="Times New Roman" w:cs="Times New Roman"/>
          <w:b/>
          <w:color w:val="auto"/>
          <w:sz w:val="32"/>
        </w:rPr>
        <w:t>2024届高三生物周练（十</w:t>
      </w:r>
      <w:r>
        <w:rPr>
          <w:rFonts w:hint="eastAsia" w:cs="Times New Roman"/>
          <w:b/>
          <w:color w:val="auto"/>
          <w:sz w:val="32"/>
          <w:lang w:val="en-US" w:eastAsia="zh-CN"/>
        </w:rPr>
        <w:t>六</w:t>
      </w:r>
      <w:r>
        <w:rPr>
          <w:rFonts w:hint="eastAsia" w:ascii="Times New Roman" w:hAnsi="Times New Roman" w:eastAsia="Times New Roman" w:cs="Times New Roman"/>
          <w:b/>
          <w:color w:val="auto"/>
          <w:sz w:val="32"/>
        </w:rPr>
        <w:t>）</w:t>
      </w:r>
    </w:p>
    <w:p w14:paraId="7A2737E2">
      <w:pPr>
        <w:spacing w:line="240" w:lineRule="auto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一、单项选择题：本部分包括14题，每题2分，共28分。每题只有一个选项最符合题意。</w:t>
      </w:r>
    </w:p>
    <w:p w14:paraId="379EB6E9">
      <w:pPr>
        <w:spacing w:line="240" w:lineRule="auto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1. 肺炎支原体和肺炎链球菌均可能引发肺炎。下列有关叙述正确的是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（　　）</w:t>
      </w:r>
    </w:p>
    <w:p w14:paraId="31166EC4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两者遗传物质彻底水解都能得到六种小分子物质</w:t>
      </w:r>
    </w:p>
    <w:p w14:paraId="7AD0E173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两者均可利用宿主细胞的核糖体合成自身蛋白质</w:t>
      </w:r>
    </w:p>
    <w:p w14:paraId="42DA05FC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两者引发的肺炎症状相似，都可用适量青霉素治疗</w:t>
      </w:r>
    </w:p>
    <w:p w14:paraId="7EC6E2CD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两者均能引发特异性免疫，无法通过检测核酸区分</w:t>
      </w:r>
    </w:p>
    <w:p w14:paraId="18A94975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2. 当细胞接受到凋亡信号后，位于线粒体内膜上</w:t>
      </w:r>
      <w:r>
        <w:rPr>
          <w:rFonts w:hint="eastAsia" w:ascii="宋体" w:hAnsi="宋体" w:eastAsia="宋体" w:cs="宋体"/>
          <w:color w:val="000000"/>
          <w:position w:val="0"/>
          <w:sz w:val="21"/>
          <w:szCs w:val="21"/>
        </w:rPr>
        <w:drawing>
          <wp:inline distT="0" distB="0" distL="114300" distR="114300">
            <wp:extent cx="133350" cy="177800"/>
            <wp:effectExtent l="0" t="0" r="6350" b="0"/>
            <wp:docPr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细胞色素c（参与电子传递）会释放进而引发细胞凋亡。研究人员用某种药物处理家蚕细胞不同时间后，用凝胶电泳法测定细胞不同结构中细胞色素c及微管蛋白的含量，结果如下图所示。下列有关叙述错误的是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339470B3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52070</wp:posOffset>
            </wp:positionV>
            <wp:extent cx="2717165" cy="1022350"/>
            <wp:effectExtent l="0" t="0" r="0" b="0"/>
            <wp:wrapTight wrapText="bothSides">
              <wp:wrapPolygon>
                <wp:start x="2625" y="1342"/>
                <wp:lineTo x="2120" y="2683"/>
                <wp:lineTo x="1211" y="5635"/>
                <wp:lineTo x="1211" y="7513"/>
                <wp:lineTo x="3534" y="9928"/>
                <wp:lineTo x="1211" y="10733"/>
                <wp:lineTo x="1211" y="13953"/>
                <wp:lineTo x="5351" y="14221"/>
                <wp:lineTo x="808" y="16904"/>
                <wp:lineTo x="303" y="17441"/>
                <wp:lineTo x="303" y="20124"/>
                <wp:lineTo x="5351" y="21466"/>
                <wp:lineTo x="17466" y="21466"/>
                <wp:lineTo x="18980" y="20929"/>
                <wp:lineTo x="21302" y="19319"/>
                <wp:lineTo x="21403" y="17978"/>
                <wp:lineTo x="20495" y="16904"/>
                <wp:lineTo x="17466" y="14221"/>
                <wp:lineTo x="21100" y="13953"/>
                <wp:lineTo x="21100" y="11001"/>
                <wp:lineTo x="17466" y="9928"/>
                <wp:lineTo x="18980" y="9928"/>
                <wp:lineTo x="20898" y="7513"/>
                <wp:lineTo x="20898" y="2683"/>
                <wp:lineTo x="16052" y="1342"/>
                <wp:lineTo x="5351" y="1342"/>
                <wp:lineTo x="2625" y="1342"/>
              </wp:wrapPolygon>
            </wp:wrapTight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A. 细胞色素c参与有氧呼吸第三阶段的化学反应</w:t>
      </w:r>
    </w:p>
    <w:p w14:paraId="6F8D46BA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在细胞中含量比较稳定的微管蛋白可作为实验参照</w:t>
      </w:r>
    </w:p>
    <w:p w14:paraId="69977641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该种药物可促使细胞色素c释放到细胞质基质</w:t>
      </w:r>
    </w:p>
    <w:p w14:paraId="0D8C90B2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凝胶电泳分离不同蛋白分子的关键是所带电荷性质</w:t>
      </w:r>
    </w:p>
    <w:p w14:paraId="645E9C2C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3.生物实验的成败与实验的选材密切相关。下列实验中材料或试剂选择不恰当的是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49FF3FAA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选用蝗虫精巢而非小白鼠卵巢，观察减数分裂的不同时期</w:t>
      </w:r>
    </w:p>
    <w:p w14:paraId="42557D59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选用黑藻小叶而非洋葱鳞片叶外表皮，研究光合作用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33350" cy="177800"/>
            <wp:effectExtent l="0" t="0" r="6350" b="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放氧部位</w:t>
      </w:r>
    </w:p>
    <w:p w14:paraId="020A383A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选用血细胞计数板而非载玻片，探究培养液中酵母菌种群数量变化</w:t>
      </w:r>
    </w:p>
    <w:p w14:paraId="420CA1F0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选用淀粉酶而非过氧化氢酶，探究温度对酶活性的影响</w:t>
      </w:r>
    </w:p>
    <w:p w14:paraId="093E4E9D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4.下列有关进化的叙述错误的是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1CE5639D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物种之间的协同进化可以通过捕食、竞争及寄生等实现</w:t>
      </w:r>
    </w:p>
    <w:p w14:paraId="16F63E2B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各种金鱼品种的获得与突变和基因重组、人工选择等有关</w:t>
      </w:r>
    </w:p>
    <w:p w14:paraId="05BB0F6D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种群数量低到一定程度可能会因近亲繁殖导致适应性降低</w:t>
      </w:r>
    </w:p>
    <w:p w14:paraId="6DFB3408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生物的适应性主要体现在特定生物对其所生活环境的适应</w:t>
      </w:r>
    </w:p>
    <w:p w14:paraId="77A7C36F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5. 水体中氧浓度远远低于空气中的氧浓度，高海拔地区气压低、氧分压也低。不同生物对缺氧环境的适应方式各异。下列有关叙述错误的是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4099F9B5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沉水植物通过增加气孔数量和开放程度来获得充足的氧气</w:t>
      </w:r>
    </w:p>
    <w:p w14:paraId="5E74CF44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荷花的器官中具有发达的通气组织为地下茎和根提供氧气</w:t>
      </w:r>
    </w:p>
    <w:p w14:paraId="5BDD93E8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人初上高原，呼吸中枢对CO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的敏感性会增高以适应低氧</w:t>
      </w:r>
    </w:p>
    <w:p w14:paraId="033124F3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某些鱼类可通过增加流过鳃的水体积以提升氧气的获取量</w:t>
      </w:r>
    </w:p>
    <w:p w14:paraId="3BCFF317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6.植物的生命活动调节受到多种生态因子的影响。下列古诗词与生物学原理搭配错误的是（）</w:t>
      </w:r>
    </w:p>
    <w:p w14:paraId="49AFB4E1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“竹外桃花三两枝，春江水暖鸭先知”体现出生物能感知自然环境中的某些信息</w:t>
      </w:r>
    </w:p>
    <w:p w14:paraId="0EA0BBC1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“人间四月芳菲尽，山寺桃花始盛开”主要描述温度因素对植物开花的调节作用</w:t>
      </w:r>
    </w:p>
    <w:p w14:paraId="3E69A58A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“万千绿豆比珠圆，一夜琼花开玉莲”说明豆芽培育过程需要在避光条件下进行</w:t>
      </w:r>
    </w:p>
    <w:p w14:paraId="3A110465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“南枝向暖北枝寒，一种春风有两般”说明植物地域性分布很大程度取决于温度</w:t>
      </w:r>
    </w:p>
    <w:p w14:paraId="11186EF5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7.下列有关对遗传物质研究的实验叙述正确的是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36872401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艾弗里设法将S型细菌的DNA、蛋白质等分离并分别与R型细菌混合培养</w:t>
      </w:r>
    </w:p>
    <w:p w14:paraId="206F5EE6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根据DNA</w:t>
      </w:r>
      <w:r>
        <w:rPr>
          <w:rFonts w:hint="eastAsia" w:ascii="宋体" w:hAnsi="宋体" w:eastAsia="宋体" w:cs="宋体"/>
          <w:color w:val="000000"/>
          <w:position w:val="0"/>
          <w:sz w:val="21"/>
          <w:szCs w:val="21"/>
        </w:rPr>
        <w:drawing>
          <wp:inline distT="0" distB="0" distL="114300" distR="114300">
            <wp:extent cx="133350" cy="177800"/>
            <wp:effectExtent l="0" t="0" r="6350" b="0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X射线衍射图谱，沃森和克里克推测DNA呈规则的双螺旋结构</w:t>
      </w:r>
    </w:p>
    <w:p w14:paraId="356EAED2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32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P标记的噬菌体侵染大肠杆菌时，上清液中放射性强度与保温时间成正相关</w:t>
      </w:r>
    </w:p>
    <w:p w14:paraId="063A66AF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研究DNA复制方式时，离心管中DNA条带的位置和宽度对结论获得极为重要</w:t>
      </w:r>
    </w:p>
    <w:p w14:paraId="1B587155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3287395</wp:posOffset>
            </wp:positionH>
            <wp:positionV relativeFrom="paragraph">
              <wp:posOffset>446405</wp:posOffset>
            </wp:positionV>
            <wp:extent cx="1905000" cy="1295400"/>
            <wp:effectExtent l="0" t="0" r="0" b="0"/>
            <wp:wrapTight wrapText="bothSides">
              <wp:wrapPolygon>
                <wp:start x="0" y="0"/>
                <wp:lineTo x="0" y="21388"/>
                <wp:lineTo x="21456" y="21388"/>
                <wp:lineTo x="21456" y="0"/>
                <wp:lineTo x="0" y="0"/>
              </wp:wrapPolygon>
            </wp:wrapTight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8.对某患者进行染色体核型检查，发现大部分细胞核型正常，有少数细胞含47条染色体，其中6号染色体有3条，且2条成环状，染色体成环机制如下图所示。下列有关叙述正确的是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7E03BC0E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  A. 该患者核型异常最可能是其母亲减数分裂产生了异常配子导致</w:t>
      </w:r>
    </w:p>
    <w:p w14:paraId="66A190B4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该患者出现核型异常细胞是因为发生了染色体结构与数目变异</w:t>
      </w:r>
    </w:p>
    <w:p w14:paraId="1B45BD51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染色体核型异常细胞中含有的端粒数目比正常细胞多2个</w:t>
      </w:r>
    </w:p>
    <w:p w14:paraId="3FE49B48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含环状染色体的细胞数目越多且环越大对患者危害越大</w:t>
      </w:r>
    </w:p>
    <w:p w14:paraId="6468484D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9. 下列有关神经调节的叙述正确的是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557536BE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神经元中短而多的树突有利于将信息传递给多个神经元</w:t>
      </w:r>
    </w:p>
    <w:p w14:paraId="77C7FA7F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交感神经使内脏器官活动加强有利于机体更好适应环境</w:t>
      </w:r>
    </w:p>
    <w:p w14:paraId="551FB345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条件反射的建立和消退本质都是刺激间联系的建立过程</w:t>
      </w:r>
    </w:p>
    <w:p w14:paraId="74C80D14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大脑皮层运动代表区的位置与人体各部分的关系都倒置</w:t>
      </w:r>
    </w:p>
    <w:p w14:paraId="3CD759BD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210820</wp:posOffset>
            </wp:positionV>
            <wp:extent cx="2994660" cy="2118360"/>
            <wp:effectExtent l="0" t="0" r="0" b="2540"/>
            <wp:wrapTight wrapText="bothSides">
              <wp:wrapPolygon>
                <wp:start x="0" y="0"/>
                <wp:lineTo x="0" y="21496"/>
                <wp:lineTo x="21527" y="21496"/>
                <wp:lineTo x="21527" y="0"/>
                <wp:lineTo x="0" y="0"/>
              </wp:wrapPolygon>
            </wp:wrapTight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>
                      <a:lum bright="-18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10. 科学家研发了多种RNA药物用于疾病治疗和预防，下图中①~④表示4种RNA药物的作用机制。下列有关叙述错误的是（　　）</w:t>
      </w:r>
    </w:p>
    <w:p w14:paraId="5882EA4E">
      <w:pPr>
        <w:spacing w:line="240" w:lineRule="auto"/>
        <w:jc w:val="center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</w:p>
    <w:p w14:paraId="716DF769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前体mRNA需加工为成熟的mRNA才能转运到细胞质中发挥作用</w:t>
      </w:r>
    </w:p>
    <w:p w14:paraId="386298C9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药物③和药物④均需包裹</w:t>
      </w:r>
      <w:r>
        <w:rPr>
          <w:rFonts w:hint="eastAsia" w:ascii="宋体" w:hAnsi="宋体" w:eastAsia="宋体" w:cs="宋体"/>
          <w:color w:val="000000"/>
          <w:position w:val="-1"/>
          <w:sz w:val="21"/>
          <w:szCs w:val="21"/>
        </w:rPr>
        <w:drawing>
          <wp:inline distT="0" distB="0" distL="114300" distR="114300">
            <wp:extent cx="139700" cy="190500"/>
            <wp:effectExtent l="0" t="0" r="0" b="0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脂质体中以防止mRNA被核酸酶分解</w:t>
      </w:r>
    </w:p>
    <w:p w14:paraId="460D1F30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图示说明生物体性状改变可以通过基因修饰、RNA加工或翻译水平调控实现</w:t>
      </w:r>
    </w:p>
    <w:p w14:paraId="666567F0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与DNA疫苗相比，通常mRNA疫苗发挥作用更快且安全性较高</w:t>
      </w:r>
    </w:p>
    <w:p w14:paraId="72EA5211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11. 下列有关“培养”的叙述错误的是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37AF6628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宜采用通气培养并搅拌以获取更多的紫杉醇</w:t>
      </w:r>
    </w:p>
    <w:p w14:paraId="32218980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可采用稀释涂布平板法分离纯化培养乳酸菌</w:t>
      </w:r>
    </w:p>
    <w:p w14:paraId="0354779B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可在96孔板上培养和筛选特定的杂交瘤细胞</w:t>
      </w:r>
    </w:p>
    <w:p w14:paraId="7EF055D0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采集到的卵母细胞需要在体外进行成熟培养</w:t>
      </w:r>
    </w:p>
    <w:p w14:paraId="4BE622AB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 下列有关病毒和病毒疫苗的叙述错误的是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2653007C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HIV入侵人体可使免疫系统瘫痪，最终会使人死于其他病原体的感染等</w:t>
      </w:r>
    </w:p>
    <w:p w14:paraId="6DC6F2AF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禽流感病毒可跨物种传染给人类，可能和人接触到死因不明的禽类有关</w:t>
      </w:r>
    </w:p>
    <w:p w14:paraId="399E9D78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逆转录病毒侵入宿主细胞后，在病毒遗传物质的控制下先合成逆转录酶</w:t>
      </w:r>
    </w:p>
    <w:p w14:paraId="00AC1D12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流感病毒用活鸡胚培养后，经纯化、减毒或灭活可制备出流感疫苗</w:t>
      </w:r>
    </w:p>
    <w:p w14:paraId="07A4CBE1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.人的X染色体上有一个红色觉基因和一个或多个绿色觉基因，只有完整的红色觉基因和相邻的那个绿色觉基因能正常表达。当红绿色觉基因之间发生片段交换形成嵌合基因时会影响色觉，机理如下图所示。下列有关叙述正确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37953F47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635</wp:posOffset>
            </wp:positionV>
            <wp:extent cx="2780665" cy="1508760"/>
            <wp:effectExtent l="0" t="0" r="635" b="2540"/>
            <wp:wrapTight wrapText="bothSides">
              <wp:wrapPolygon>
                <wp:start x="0" y="0"/>
                <wp:lineTo x="0" y="21455"/>
                <wp:lineTo x="21506" y="21455"/>
                <wp:lineTo x="21506" y="0"/>
                <wp:lineTo x="0" y="0"/>
              </wp:wrapPolygon>
            </wp:wrapTight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A. X染色体上的基因所控制的性状和性别决定密切相关</w:t>
      </w:r>
    </w:p>
    <w:p w14:paraId="00B85359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图示嵌合基因的形成可能发生在男性减数分裂Ⅰ四分体时</w:t>
      </w:r>
    </w:p>
    <w:p w14:paraId="45DB7521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与红色觉基因较远的绿色觉基因不能表达可能与DNA甲基化有关</w:t>
      </w:r>
    </w:p>
    <w:p w14:paraId="2C81E949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红色觉基因、绿色觉基因和色盲基因是复等位基因</w:t>
      </w:r>
    </w:p>
    <w:p w14:paraId="420B7BCD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14. 生命系统的不同层次都存在着“抑制”现象。下列有关抑制的叙述正确的是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　）</w:t>
      </w:r>
    </w:p>
    <w:p w14:paraId="7504B2B3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低温抑制纺锤体的形成可使细胞停留在分裂前期</w:t>
      </w:r>
    </w:p>
    <w:p w14:paraId="5B7B767D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资源有限条件下，种内竞争加剧会抑制种群增长</w:t>
      </w:r>
    </w:p>
    <w:p w14:paraId="1BC6FC6F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生长素在超过最适浓度后，其抑制生长作用增强</w:t>
      </w:r>
    </w:p>
    <w:p w14:paraId="6A0D4B18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鉴别培养基可抑制或阻止其他种类微生物的生长</w:t>
      </w:r>
    </w:p>
    <w:p w14:paraId="62D0E799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二、多项选择题：共4题，每题3分，共12分。每题有不止一个选项符合题意。每题全选对者得3分，选对但不全的得1分，错选或不答的得0分。</w:t>
      </w:r>
    </w:p>
    <w:p w14:paraId="24B96ABA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15.拟南芥的气孔导度与昼夜节律密切相关。科研人员利用野生型拟南芥及突变体Z、T进行相关研究结果如图1，图2是野生型拟南芥在不同条件下叶绿素含量，图3表示突变体T及Z在相应条件下测得的结果。下列有关叙述正确的有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　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）</w:t>
      </w:r>
    </w:p>
    <w:p w14:paraId="2D8D9DD4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2346960" cy="1510665"/>
            <wp:effectExtent l="0" t="0" r="2540" b="63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450975" cy="1557020"/>
            <wp:effectExtent l="0" t="0" r="9525" b="508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327785" cy="1132205"/>
            <wp:effectExtent l="0" t="0" r="5715" b="10795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A2CA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光合色素的含量、气孔导度均可影响植物的光合速率</w:t>
      </w:r>
    </w:p>
    <w:p w14:paraId="048843CE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据图1可知突变体Z的生物钟周期比野生型拟南芥长</w:t>
      </w:r>
    </w:p>
    <w:p w14:paraId="3B02A251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据图2可知环境昼夜周期与植物生物钟周期不匹配会影响光合速率</w:t>
      </w:r>
    </w:p>
    <w:p w14:paraId="6331C2C4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图3实验还应补充突变体Z、T在T24条件下的实验数据作为对照</w:t>
      </w:r>
    </w:p>
    <w:p w14:paraId="3EAC7406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3136265</wp:posOffset>
            </wp:positionH>
            <wp:positionV relativeFrom="paragraph">
              <wp:posOffset>221615</wp:posOffset>
            </wp:positionV>
            <wp:extent cx="2078990" cy="1603375"/>
            <wp:effectExtent l="0" t="0" r="3810" b="9525"/>
            <wp:wrapTight wrapText="bothSides">
              <wp:wrapPolygon>
                <wp:start x="0" y="0"/>
                <wp:lineTo x="0" y="21386"/>
                <wp:lineTo x="21508" y="21386"/>
                <wp:lineTo x="21508" y="0"/>
                <wp:lineTo x="0" y="0"/>
              </wp:wrapPolygon>
            </wp:wrapTight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16. 鱼茶味酸而微咸，富含多种必需氨基酸。鱼茶的发酵菌群主要是乳酸菌，如图是某同学绘制的鱼茶发酵过程中各菌种数量及发酵液pH的变化曲线。下列有关叙述错误的有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　）</w:t>
      </w:r>
    </w:p>
    <w:p w14:paraId="12B4D8FE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与制作传统泡菜类似，鱼茶发酵也无需严格灭菌</w:t>
      </w:r>
    </w:p>
    <w:p w14:paraId="70AF5867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乳酸菌发酵时会积累NADH导致发酵液pH变小</w:t>
      </w:r>
    </w:p>
    <w:p w14:paraId="029D766B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利用显微镜直接计数可快速直观检测微生物数量</w:t>
      </w:r>
    </w:p>
    <w:p w14:paraId="0F0F93BE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醋酸菌和酵母菌消失的原因都是因为氧气已耗尽</w:t>
      </w:r>
    </w:p>
    <w:p w14:paraId="437E9B1D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17. 动物对寒冷环境的适应有多种表现形式。下图是不同气候地带的部分动物（括号内标注为体重）基础代谢率与环境温度的关系。下列有关叙述正确的有（　　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）</w:t>
      </w:r>
    </w:p>
    <w:p w14:paraId="52AD0369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55245</wp:posOffset>
            </wp:positionV>
            <wp:extent cx="2098040" cy="1482725"/>
            <wp:effectExtent l="0" t="0" r="10160" b="3175"/>
            <wp:wrapTight wrapText="bothSides">
              <wp:wrapPolygon>
                <wp:start x="0" y="0"/>
                <wp:lineTo x="0" y="21461"/>
                <wp:lineTo x="21443" y="21461"/>
                <wp:lineTo x="21443" y="0"/>
                <wp:lineTo x="0" y="0"/>
              </wp:wrapPolygon>
            </wp:wrapTight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  A. 产热增加多的动物如红狐，对寒冷环境的适应能力比北极狐强</w:t>
      </w:r>
    </w:p>
    <w:p w14:paraId="7EB088D8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北极狐的骨骼肌战栗、甲状腺激素等增加是其适应寒冷环境的主要方式</w:t>
      </w:r>
    </w:p>
    <w:p w14:paraId="45219C30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冷水中站立的水鸟的趾部温度可能较低，但身体核心部位温度依然维持较高</w:t>
      </w:r>
    </w:p>
    <w:p w14:paraId="73F41471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有些动物可通过集群等行为减少散热，以适应寒冷环境</w:t>
      </w:r>
    </w:p>
    <w:p w14:paraId="670DA0CC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18. 下图1为某雄性动物的细胞进行某种分裂时的图像，下图2是细胞分裂过程中的相关曲线。下列有关叙述错误的有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                                      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（　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　）</w:t>
      </w:r>
    </w:p>
    <w:p w14:paraId="11FFE2C6">
      <w:pPr>
        <w:spacing w:line="240" w:lineRule="auto"/>
        <w:jc w:val="center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4612005" cy="1187450"/>
            <wp:effectExtent l="0" t="0" r="10795" b="635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rcRect l="-261" t="4284" b="2612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A739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A. 图1细胞分裂方式为减数分裂，细胞①~④都可发生突变</w:t>
      </w:r>
    </w:p>
    <w:p w14:paraId="699F19AD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B. 获得图1所示图像须对材料进行解离、漂洗、染色、制片</w:t>
      </w:r>
    </w:p>
    <w:p w14:paraId="0EB16E20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C. 细胞①对应图2的CD段，HI过程中染色体数目不尽相同</w:t>
      </w:r>
    </w:p>
    <w:p w14:paraId="689091F5">
      <w:pPr>
        <w:spacing w:line="24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D. 图1照片和图2曲线分别构建出的是物理模型和数学模型</w:t>
      </w:r>
    </w:p>
    <w:p w14:paraId="139FFDFB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三、非选择题：共5题，共60分。除特别说明外，每空1分。</w:t>
      </w:r>
    </w:p>
    <w:p w14:paraId="5EC63C21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401955</wp:posOffset>
            </wp:positionV>
            <wp:extent cx="1889760" cy="1682115"/>
            <wp:effectExtent l="0" t="0" r="2540" b="6985"/>
            <wp:wrapSquare wrapText="bothSides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19. 有研究者从菠菜中分离出类囊体膜，将其与16有机物2种酶（类似卡尔文循环中的酶）一起包裹在油包水滴中，构建出如图1所示的人工光合系统，其中a、b代表结构。请回答下列问题：</w:t>
      </w:r>
    </w:p>
    <w:p w14:paraId="3F1CB795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 xml:space="preserve"> （1）该人工光合系统须包裹在油包水滴中，这与磷脂分子___________________________________的特点有关。</w:t>
      </w:r>
    </w:p>
    <w:p w14:paraId="482F8B80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（2）人工光合系统经照光后顺利合成出有机物，证明该系统能进行光合作用，其中光反应发生在结构_______（填字母）。过程c类似于光合作用中的_______________（填具体生理过程），此过程中NADPH的作用有_____________</w:t>
      </w:r>
    </w:p>
    <w:p w14:paraId="4F1F9A88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____________________。与叶肉细胞相比，该系统可积累更多的有机物，原因有___ __________________________</w:t>
      </w:r>
    </w:p>
    <w:p w14:paraId="0F607D4C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____________________________________________________________________________。</w:t>
      </w:r>
    </w:p>
    <w:p w14:paraId="235E6278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3）结构a中的叶绿素含量可通过实验测定：先用有机溶剂提取色素，然后将提取到的色素溶液置于______（填“红光”、“蓝紫光”或“白光”）下测定吸光度。使用该种光源的原因是___________________________________________________________________________。</w:t>
      </w:r>
    </w:p>
    <w:p w14:paraId="5AD3313E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（4）为进一步探究光合作用过程中CO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转化为有机物的具体途径，科学家通过构建下图2所示装置进行研究，实验步骤见下表。</w:t>
      </w:r>
    </w:p>
    <w:p w14:paraId="7D598713">
      <w:pPr>
        <w:spacing w:line="240" w:lineRule="auto"/>
        <w:jc w:val="center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1784985" cy="1972945"/>
            <wp:effectExtent l="0" t="0" r="5715" b="825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8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50"/>
        <w:gridCol w:w="3870"/>
      </w:tblGrid>
      <w:tr w14:paraId="7258FC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50" w:type="dxa"/>
            <w:vAlign w:val="center"/>
          </w:tcPr>
          <w:p w14:paraId="53B33704">
            <w:pPr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操作步骤</w:t>
            </w:r>
          </w:p>
        </w:tc>
        <w:tc>
          <w:tcPr>
            <w:tcW w:w="3870" w:type="dxa"/>
            <w:vAlign w:val="center"/>
          </w:tcPr>
          <w:p w14:paraId="61246C7A">
            <w:pPr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实验目的</w:t>
            </w:r>
          </w:p>
        </w:tc>
      </w:tr>
      <w:tr w14:paraId="09292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50" w:type="dxa"/>
            <w:vAlign w:val="center"/>
          </w:tcPr>
          <w:p w14:paraId="03DA4777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黑暗条件下向单细胞藻类提供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vertAlign w:val="superscript"/>
              </w:rPr>
              <w:t>14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CO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3870" w:type="dxa"/>
            <w:vAlign w:val="center"/>
          </w:tcPr>
          <w:p w14:paraId="7C88E1F6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追踪放射性元素去向</w:t>
            </w:r>
          </w:p>
        </w:tc>
      </w:tr>
      <w:tr w14:paraId="5CCB2F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50" w:type="dxa"/>
            <w:vAlign w:val="center"/>
          </w:tcPr>
          <w:p w14:paraId="1EF10E1B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整个装置置于摇床以一定速率振荡</w:t>
            </w:r>
          </w:p>
        </w:tc>
        <w:tc>
          <w:tcPr>
            <w:tcW w:w="3870" w:type="dxa"/>
            <w:vAlign w:val="center"/>
          </w:tcPr>
          <w:p w14:paraId="4D63CC53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将仪器中物质充分混匀</w:t>
            </w:r>
          </w:p>
        </w:tc>
      </w:tr>
      <w:tr w14:paraId="08F92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50" w:type="dxa"/>
            <w:vAlign w:val="center"/>
          </w:tcPr>
          <w:p w14:paraId="54FD6FEC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使用冷光灯照射</w:t>
            </w:r>
          </w:p>
        </w:tc>
        <w:tc>
          <w:tcPr>
            <w:tcW w:w="3870" w:type="dxa"/>
            <w:vAlign w:val="center"/>
          </w:tcPr>
          <w:p w14:paraId="062EC15D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防止①_______________影响实验结果</w:t>
            </w:r>
          </w:p>
        </w:tc>
      </w:tr>
      <w:tr w14:paraId="79965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50" w:type="dxa"/>
            <w:vAlign w:val="center"/>
          </w:tcPr>
          <w:p w14:paraId="6FC70C41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每隔5s将一些细胞排入热酒精中固定</w:t>
            </w:r>
          </w:p>
        </w:tc>
        <w:tc>
          <w:tcPr>
            <w:tcW w:w="3870" w:type="dxa"/>
            <w:vAlign w:val="center"/>
          </w:tcPr>
          <w:p w14:paraId="31BFA50E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②_______________________________</w:t>
            </w:r>
          </w:p>
        </w:tc>
      </w:tr>
      <w:tr w14:paraId="71E75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50" w:type="dxa"/>
            <w:vAlign w:val="center"/>
          </w:tcPr>
          <w:p w14:paraId="54AD4868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固定后的藻细胞制成匀浆，利用放射自显影等技术获得图3所示图谱（斑点是含有放射性的化合物）</w:t>
            </w:r>
          </w:p>
        </w:tc>
        <w:tc>
          <w:tcPr>
            <w:tcW w:w="3870" w:type="dxa"/>
            <w:vAlign w:val="center"/>
          </w:tcPr>
          <w:p w14:paraId="66427186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揭示不同化合物出现的时间顺序</w:t>
            </w:r>
          </w:p>
        </w:tc>
      </w:tr>
    </w:tbl>
    <w:p w14:paraId="741E8E9A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据图3分析：CO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转化为有机物的途径中，化合物X、Y、Z形成的先后顺序是________________。</w:t>
      </w:r>
    </w:p>
    <w:p w14:paraId="7EE21ADE">
      <w:pPr>
        <w:spacing w:line="240" w:lineRule="auto"/>
        <w:jc w:val="center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2880360" cy="1219835"/>
            <wp:effectExtent l="0" t="0" r="2540" b="12065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EEC5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20. 胰液由胰腺外分泌部分泌，含多种胰酶。胰液经导管汇入十二指肠，其分泌调节机制如下图所示，其中缩胆囊素主要促进胰酶</w:t>
      </w:r>
      <w:r>
        <w:rPr>
          <w:rFonts w:hint="eastAsia" w:ascii="宋体" w:hAnsi="宋体" w:eastAsia="宋体" w:cs="宋体"/>
          <w:color w:val="000000"/>
          <w:position w:val="0"/>
          <w:sz w:val="21"/>
          <w:szCs w:val="21"/>
        </w:rPr>
        <w:drawing>
          <wp:inline distT="0" distB="0" distL="114300" distR="114300">
            <wp:extent cx="133350" cy="177800"/>
            <wp:effectExtent l="0" t="0" r="0" b="0"/>
            <wp:docPr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</w:rPr>
        <w:t>分泌。请回答下列问题：</w:t>
      </w:r>
    </w:p>
    <w:p w14:paraId="3C5ED2CF">
      <w:pPr>
        <w:spacing w:line="240" w:lineRule="auto"/>
        <w:jc w:val="center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4825365" cy="2394585"/>
            <wp:effectExtent l="0" t="0" r="635" b="571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18085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（1）缩胆囊素和激素X（一种多肽类激素）都可以促进胰腺分泌胰液，两者存在_______作用。由图可知，胰腺分泌胰液受_________________调节。</w:t>
      </w:r>
    </w:p>
    <w:p w14:paraId="07AED9C8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（2）胰液是最重要的消化液，其原因可能是胰液中含有_____________________________。对收集到的胰液进行分析发现含有丰富的HCO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perscript"/>
        </w:rPr>
        <w:t>-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，推测其主要作用是___________________。</w:t>
      </w:r>
    </w:p>
    <w:p w14:paraId="704C093D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（3）胰蛋白酶对天然蛋白质的分解能力较差，据图分析胃酸对消化的意义有____________</w:t>
      </w:r>
    </w:p>
    <w:p w14:paraId="3E70951F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____________________________________________________________________________。</w:t>
      </w:r>
    </w:p>
    <w:p w14:paraId="6857CE8C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4）摄食会导致激素X增加并与褐色脂肪细胞（BAT）___________________（填“细胞膜上”或“细胞内”）特异性受体结合，经一系列信号转导最终激活UCP-1蛋白的表达。UCP-1蛋白位于线粒体内膜上，可介导H内流至线粒体基质并阻断线粒体内膜上的电子传递过程，最终将导致产热___________。</w:t>
      </w:r>
    </w:p>
    <w:p w14:paraId="4EEC1C4F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5）胰腺泡细胞分泌的是无活性的胰蛋白酶原，通过胰腺导管进入肠道后会被激活成有活性的胰蛋白酶，胰蛋白酶又可激活更多的胰蛋白酶原，该调节机制是_____________调节。近年发现，胰蛋白酶原的激活也可通过酸性水解酶的作用而在细胞内发生，该过程与___（细胞器）密切相关。</w:t>
      </w:r>
    </w:p>
    <w:p w14:paraId="3C2B9EBC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（6）胰蛋白酶原的异常激活会导致胰腺泡细胞受损，这是急性胰腺炎的重要发病机制。下列有关叙述正确的有_____________。</w:t>
      </w:r>
    </w:p>
    <w:p w14:paraId="6482F54C">
      <w:pPr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①胰腺内可能存在有胰蛋白酶抑制物以防止对胰腺的自我消化</w:t>
      </w:r>
    </w:p>
    <w:p w14:paraId="17A0C205">
      <w:pPr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②过量饮酒易引发胰腺炎可能与酒精促使胃产生更多胃酸有关</w:t>
      </w:r>
    </w:p>
    <w:p w14:paraId="56E49892">
      <w:pPr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③检测血液中胰淀粉酶含量可作为诊断是否患急性胰腺炎的指标之一</w:t>
      </w:r>
    </w:p>
    <w:p w14:paraId="37C3DD8D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21. 生态系统中的分解作用是一个非常复杂的综合性过程，其速率受多种因素影响。表1表示待分解的不同种类资源的分解速率，表2表示各生态系统类型中枯叶输入量与现存量的关系。请回答下列问题：</w:t>
      </w:r>
    </w:p>
    <w:p w14:paraId="0E541861">
      <w:pPr>
        <w:spacing w:line="240" w:lineRule="auto"/>
        <w:ind w:firstLine="1260" w:firstLineChars="600"/>
        <w:jc w:val="left"/>
        <w:textAlignment w:val="center"/>
        <w:rPr>
          <w:rFonts w:hint="eastAsia" w:ascii="宋体" w:hAnsi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表1</w:t>
      </w:r>
      <w:r>
        <w:rPr>
          <w:rFonts w:hint="eastAsia" w:ascii="宋体" w:hAnsi="宋体" w:cs="宋体"/>
          <w:color w:val="000000"/>
          <w:sz w:val="21"/>
          <w:szCs w:val="21"/>
          <w:lang w:eastAsia="zh-CN"/>
        </w:rPr>
        <w:t>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1"/>
        <w:gridCol w:w="636"/>
        <w:gridCol w:w="1056"/>
        <w:gridCol w:w="846"/>
        <w:gridCol w:w="846"/>
        <w:gridCol w:w="426"/>
      </w:tblGrid>
      <w:tr w14:paraId="3C72D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30971DE4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待分解资源种类</w:t>
            </w:r>
          </w:p>
        </w:tc>
        <w:tc>
          <w:tcPr>
            <w:tcW w:w="0" w:type="auto"/>
            <w:vAlign w:val="center"/>
          </w:tcPr>
          <w:p w14:paraId="47F1462D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单糖</w:t>
            </w:r>
          </w:p>
        </w:tc>
        <w:tc>
          <w:tcPr>
            <w:tcW w:w="0" w:type="auto"/>
            <w:vAlign w:val="center"/>
          </w:tcPr>
          <w:p w14:paraId="1C98135B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半纤维素</w:t>
            </w:r>
          </w:p>
        </w:tc>
        <w:tc>
          <w:tcPr>
            <w:tcW w:w="0" w:type="auto"/>
            <w:vAlign w:val="center"/>
          </w:tcPr>
          <w:p w14:paraId="5F3FE7E5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纤维素</w:t>
            </w:r>
          </w:p>
        </w:tc>
        <w:tc>
          <w:tcPr>
            <w:tcW w:w="0" w:type="auto"/>
            <w:vAlign w:val="center"/>
          </w:tcPr>
          <w:p w14:paraId="0A22DAA9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木质素</w:t>
            </w:r>
          </w:p>
        </w:tc>
        <w:tc>
          <w:tcPr>
            <w:tcW w:w="0" w:type="auto"/>
            <w:vAlign w:val="center"/>
          </w:tcPr>
          <w:p w14:paraId="1020C499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酚</w:t>
            </w:r>
          </w:p>
        </w:tc>
      </w:tr>
      <w:tr w14:paraId="0A08C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vAlign w:val="center"/>
          </w:tcPr>
          <w:p w14:paraId="771E519A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每年质量减少率（%）</w:t>
            </w:r>
          </w:p>
        </w:tc>
        <w:tc>
          <w:tcPr>
            <w:tcW w:w="0" w:type="auto"/>
            <w:vAlign w:val="center"/>
          </w:tcPr>
          <w:p w14:paraId="11F4C500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99</w:t>
            </w:r>
          </w:p>
        </w:tc>
        <w:tc>
          <w:tcPr>
            <w:tcW w:w="0" w:type="auto"/>
            <w:vAlign w:val="center"/>
          </w:tcPr>
          <w:p w14:paraId="11FD8B4D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90</w:t>
            </w:r>
          </w:p>
        </w:tc>
        <w:tc>
          <w:tcPr>
            <w:tcW w:w="0" w:type="auto"/>
            <w:vAlign w:val="center"/>
          </w:tcPr>
          <w:p w14:paraId="7AEDB1F1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75</w:t>
            </w:r>
          </w:p>
        </w:tc>
        <w:tc>
          <w:tcPr>
            <w:tcW w:w="0" w:type="auto"/>
            <w:vAlign w:val="center"/>
          </w:tcPr>
          <w:p w14:paraId="25E47782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50</w:t>
            </w:r>
          </w:p>
        </w:tc>
        <w:tc>
          <w:tcPr>
            <w:tcW w:w="0" w:type="auto"/>
            <w:vAlign w:val="center"/>
          </w:tcPr>
          <w:p w14:paraId="304BABF3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10</w:t>
            </w:r>
          </w:p>
        </w:tc>
      </w:tr>
    </w:tbl>
    <w:p w14:paraId="48EF6FBA">
      <w:pPr>
        <w:spacing w:line="240" w:lineRule="auto"/>
        <w:ind w:firstLine="630" w:firstLineChars="300"/>
        <w:jc w:val="left"/>
        <w:textAlignment w:val="center"/>
        <w:rPr>
          <w:rFonts w:hint="eastAsia" w:ascii="宋体" w:hAnsi="宋体" w:cs="宋体"/>
          <w:color w:val="00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表2</w:t>
      </w:r>
      <w:r>
        <w:rPr>
          <w:rFonts w:hint="eastAsia" w:ascii="宋体" w:hAnsi="宋体" w:cs="宋体"/>
          <w:color w:val="000000"/>
          <w:sz w:val="21"/>
          <w:szCs w:val="21"/>
          <w:lang w:eastAsia="zh-CN"/>
        </w:rPr>
        <w:t>：</w:t>
      </w:r>
    </w:p>
    <w:tbl>
      <w:tblPr>
        <w:tblStyle w:val="5"/>
        <w:tblpPr w:leftFromText="180" w:rightFromText="180" w:vertAnchor="text" w:horzAnchor="page" w:tblpXSpec="center" w:tblpY="68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636"/>
        <w:gridCol w:w="1266"/>
        <w:gridCol w:w="1266"/>
        <w:gridCol w:w="1056"/>
        <w:gridCol w:w="1056"/>
      </w:tblGrid>
      <w:tr w14:paraId="71D25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0" w:type="auto"/>
            <w:vAlign w:val="center"/>
          </w:tcPr>
          <w:p w14:paraId="698D7751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各生态系统类型</w:t>
            </w:r>
          </w:p>
        </w:tc>
        <w:tc>
          <w:tcPr>
            <w:tcW w:w="0" w:type="auto"/>
            <w:vAlign w:val="center"/>
          </w:tcPr>
          <w:p w14:paraId="14E347CC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冻原</w:t>
            </w:r>
          </w:p>
        </w:tc>
        <w:tc>
          <w:tcPr>
            <w:tcW w:w="0" w:type="auto"/>
            <w:vAlign w:val="center"/>
          </w:tcPr>
          <w:p w14:paraId="00D14CAC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北方针叶林</w:t>
            </w:r>
          </w:p>
        </w:tc>
        <w:tc>
          <w:tcPr>
            <w:tcW w:w="0" w:type="auto"/>
            <w:vAlign w:val="center"/>
          </w:tcPr>
          <w:p w14:paraId="70A84DB5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温带落叶林</w:t>
            </w:r>
          </w:p>
        </w:tc>
        <w:tc>
          <w:tcPr>
            <w:tcW w:w="0" w:type="auto"/>
            <w:vAlign w:val="center"/>
          </w:tcPr>
          <w:p w14:paraId="152D7A2F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温带草地</w:t>
            </w:r>
          </w:p>
        </w:tc>
        <w:tc>
          <w:tcPr>
            <w:tcW w:w="0" w:type="auto"/>
            <w:vAlign w:val="center"/>
          </w:tcPr>
          <w:p w14:paraId="4916651D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热带雨林</w:t>
            </w:r>
          </w:p>
        </w:tc>
      </w:tr>
      <w:tr w14:paraId="729B3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0" w:type="auto"/>
            <w:vAlign w:val="center"/>
          </w:tcPr>
          <w:p w14:paraId="7DDAAF0A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枯叶输入量</w:t>
            </w:r>
          </w:p>
        </w:tc>
        <w:tc>
          <w:tcPr>
            <w:tcW w:w="0" w:type="auto"/>
            <w:vAlign w:val="center"/>
          </w:tcPr>
          <w:p w14:paraId="054C8512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0" w:type="auto"/>
            <w:vAlign w:val="center"/>
          </w:tcPr>
          <w:p w14:paraId="3B29078D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7.5</w:t>
            </w:r>
          </w:p>
        </w:tc>
        <w:tc>
          <w:tcPr>
            <w:tcW w:w="0" w:type="auto"/>
            <w:vAlign w:val="center"/>
          </w:tcPr>
          <w:p w14:paraId="0DB8597E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11.5</w:t>
            </w:r>
          </w:p>
        </w:tc>
        <w:tc>
          <w:tcPr>
            <w:tcW w:w="0" w:type="auto"/>
            <w:vAlign w:val="center"/>
          </w:tcPr>
          <w:p w14:paraId="6C2EDD50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7.5</w:t>
            </w:r>
          </w:p>
        </w:tc>
        <w:tc>
          <w:tcPr>
            <w:tcW w:w="0" w:type="auto"/>
            <w:vAlign w:val="center"/>
          </w:tcPr>
          <w:p w14:paraId="19CE2ECA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30</w:t>
            </w:r>
          </w:p>
        </w:tc>
      </w:tr>
      <w:tr w14:paraId="25488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  <w:jc w:val="center"/>
        </w:trPr>
        <w:tc>
          <w:tcPr>
            <w:tcW w:w="0" w:type="auto"/>
            <w:vAlign w:val="center"/>
          </w:tcPr>
          <w:p w14:paraId="1DDCF407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枯叶现存量</w:t>
            </w:r>
          </w:p>
        </w:tc>
        <w:tc>
          <w:tcPr>
            <w:tcW w:w="0" w:type="auto"/>
            <w:vAlign w:val="center"/>
          </w:tcPr>
          <w:p w14:paraId="06313857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44</w:t>
            </w:r>
          </w:p>
        </w:tc>
        <w:tc>
          <w:tcPr>
            <w:tcW w:w="0" w:type="auto"/>
            <w:vAlign w:val="center"/>
          </w:tcPr>
          <w:p w14:paraId="104DA8D1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35</w:t>
            </w:r>
          </w:p>
        </w:tc>
        <w:tc>
          <w:tcPr>
            <w:tcW w:w="0" w:type="auto"/>
            <w:vAlign w:val="center"/>
          </w:tcPr>
          <w:p w14:paraId="7BBEDF3E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15</w:t>
            </w:r>
          </w:p>
        </w:tc>
        <w:tc>
          <w:tcPr>
            <w:tcW w:w="0" w:type="auto"/>
            <w:vAlign w:val="center"/>
          </w:tcPr>
          <w:p w14:paraId="7F1D7192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vAlign w:val="center"/>
          </w:tcPr>
          <w:p w14:paraId="27F6CDB0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</w:t>
            </w:r>
          </w:p>
        </w:tc>
      </w:tr>
    </w:tbl>
    <w:p w14:paraId="0683211E">
      <w:pPr>
        <w:spacing w:line="240" w:lineRule="auto"/>
        <w:jc w:val="left"/>
        <w:textAlignment w:val="center"/>
        <w:rPr>
          <w:rFonts w:hint="eastAsia" w:ascii="宋体" w:hAnsi="宋体" w:cs="宋体"/>
          <w:color w:val="000000"/>
          <w:sz w:val="21"/>
          <w:szCs w:val="21"/>
          <w:lang w:eastAsia="zh-CN"/>
        </w:rPr>
      </w:pPr>
    </w:p>
    <w:p w14:paraId="7C53CE83">
      <w:pPr>
        <w:spacing w:line="240" w:lineRule="auto"/>
        <w:jc w:val="left"/>
        <w:textAlignment w:val="center"/>
        <w:rPr>
          <w:rFonts w:hint="eastAsia" w:ascii="宋体" w:hAnsi="宋体" w:cs="宋体"/>
          <w:color w:val="000000"/>
          <w:sz w:val="21"/>
          <w:szCs w:val="21"/>
          <w:lang w:eastAsia="zh-CN"/>
        </w:rPr>
      </w:pPr>
    </w:p>
    <w:p w14:paraId="612462A7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</w:p>
    <w:p w14:paraId="4267C89A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</w:p>
    <w:p w14:paraId="6C8AB755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（1）一般来说，在下列_________地带，土壤有机物的分解速率低，易积累有机质。</w:t>
      </w:r>
    </w:p>
    <w:p w14:paraId="44342026">
      <w:pPr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①高温、高湿度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②高温、干燥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③低温、高湿度</w:t>
      </w:r>
      <w:r>
        <w:rPr>
          <w:rFonts w:hint="eastAsia" w:ascii="宋体" w:hAnsi="宋体" w:cs="宋体"/>
          <w:color w:val="000000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④低温、干燥</w:t>
      </w:r>
    </w:p>
    <w:p w14:paraId="3EBFF5C2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（2）据表2分析，温带草地的分解速率明显_______温带落叶林，结合表1分析其主要原因是禾本草类的_____________________________________________________。</w:t>
      </w:r>
    </w:p>
    <w:p w14:paraId="74B0308C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（3）受水浸泡的沼泽土壤更适宜用来开发成有机肥料的原因有_________________________</w:t>
      </w:r>
    </w:p>
    <w:p w14:paraId="513B0057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_____________________________________。一般来说，植物组织中C/N比大约在（40~80）/1,而微生物体内C/N比约为10/1，因此，有机肥料中一般需适度添加________元素。</w:t>
      </w:r>
    </w:p>
    <w:p w14:paraId="55A070BB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（4）枯枝落叶层中生活着多种食碎屑动物，它们属于生态系统成分中的____________。</w:t>
      </w:r>
    </w:p>
    <w:p w14:paraId="2E9759D4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5）微生物一般通过分泌胞外酶把底物分解为简单的分子后吸收，与消费者相比，其优点是______________________________________。如果把分解者界定为一个生态系统的亚系统，进入该亚系统的有机物中能量也能通过“营养级”传递，其不同于“消费者亚系统”的特点是_______________________________________。</w:t>
      </w:r>
    </w:p>
    <w:p w14:paraId="21F42A3F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22. Ndrg2基因参与神经系统的发育和退行性疾病的发生和发展，并可参与血管的形成。为研究Ndrg2基因的功能，可利用染色体位点特异性重组酶系统Cre-LoxP构建Ndrg2基因敲除小鼠（如下图1、2所示），并对其进行鉴定和表型分析。请回答下列问题：</w:t>
      </w:r>
    </w:p>
    <w:p w14:paraId="235E5D88">
      <w:pPr>
        <w:spacing w:line="240" w:lineRule="auto"/>
        <w:jc w:val="center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3566160" cy="3839210"/>
            <wp:effectExtent l="0" t="0" r="2540" b="889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45B54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（1）图1中LoxP序列的方向取决于序号_________对应的区域。一个LoxP序列的内部被Cre重组酶切割后会增加_______个游离的磷酸基团。</w:t>
      </w:r>
    </w:p>
    <w:p w14:paraId="0B7A08A4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2）当两个loxP序列位于同一个DNA分子上且方向相同时，Cre重组酶能将两个切割位点之间的核苷酸序列切除并形成环状而失活，剩余序列会连接起来。据此可知，Cre重组酶在此过程中的作用类似于___________________________酶。当两个LoxP序列方向相反时，Cre重组酶使两个loxP间的序列颠倒，由此产生的变异本质上属于_____________________。</w:t>
      </w:r>
    </w:p>
    <w:p w14:paraId="5810E558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3）构建Ndrg2基因敲除小鼠需要先构建Flox小鼠（该小鼠的Ndrg2基因两侧需插入Loxp序列）。为构建相应的基因表达载体，据图2分析，应选择限制酶_______________________处理含有Ndrg2基因的DNA片段，而在处理质粒时应选用限制酶_______________________。质粒中启动子的作用是_____________________。</w:t>
      </w:r>
    </w:p>
    <w:tbl>
      <w:tblPr>
        <w:tblStyle w:val="4"/>
        <w:tblW w:w="36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86"/>
        <w:gridCol w:w="2274"/>
      </w:tblGrid>
      <w:tr w14:paraId="6BB46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E47CE8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限制酶种类</w:t>
            </w:r>
          </w:p>
        </w:tc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2B1A10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识别序列及切割位置</w:t>
            </w:r>
          </w:p>
        </w:tc>
      </w:tr>
      <w:tr w14:paraId="71DA8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650452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BamHⅠ</w:t>
            </w:r>
          </w:p>
        </w:tc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F54B9E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5＇-G↓GATCC-3＇</w:t>
            </w:r>
          </w:p>
        </w:tc>
      </w:tr>
      <w:tr w14:paraId="26746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FC9AE7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BclⅠ</w:t>
            </w:r>
          </w:p>
        </w:tc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CD149F1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5＇-T↓GATCA-3＇</w:t>
            </w:r>
          </w:p>
        </w:tc>
      </w:tr>
      <w:tr w14:paraId="3EEC08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60C870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Sau3Ⅰ</w:t>
            </w:r>
          </w:p>
        </w:tc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9B7A5C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5＇-↓GATC-3＇</w:t>
            </w:r>
          </w:p>
        </w:tc>
      </w:tr>
      <w:tr w14:paraId="6BA0F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0D79C3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HindⅢ</w:t>
            </w:r>
          </w:p>
        </w:tc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532F1A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5＇-A↓AGCTT-3＇</w:t>
            </w:r>
          </w:p>
        </w:tc>
      </w:tr>
      <w:tr w14:paraId="300A1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13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06E737D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EcoRⅠ</w:t>
            </w:r>
          </w:p>
        </w:tc>
        <w:tc>
          <w:tcPr>
            <w:tcW w:w="22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A8DAB7">
            <w:pPr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5＇-G↓AATTC-3＇</w:t>
            </w:r>
          </w:p>
        </w:tc>
      </w:tr>
    </w:tbl>
    <w:p w14:paraId="1D75C95D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（4）将重组质粒导入小鼠_____________。经胚胎工程获得杂合Flox小鼠（flox/+）,之后雌雄小鼠相互交配可获得纯合Flox小鼠。</w:t>
      </w:r>
    </w:p>
    <w:p w14:paraId="3BB68D38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5）构建Ndrg2基因敲除小鼠还需要构建Cre转基因小鼠（cre/+）（Cre基因上游添加有造血干细胞基因启动子EDAG）。已知Ndrg2基因与Cre重组酶基因独立遗传，现将纯合Flox小鼠（flox/flox）与Cre转基因小鼠（cre/+）交配，将F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中的双杂合小鼠雌雄交配，获得造血干细胞中Ndrg2基因完全敲除的小鼠的概率为_________。</w:t>
      </w:r>
    </w:p>
    <w:p w14:paraId="048DE627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（6）以下能说明造血干细胞中Ndrg2基因完全敲除小鼠构建成功的有_________。</w:t>
      </w:r>
    </w:p>
    <w:p w14:paraId="3EED0E3D">
      <w:pPr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①小鼠不同组织中提取的DNA可检测到cre基因</w:t>
      </w:r>
    </w:p>
    <w:p w14:paraId="2F8960A7">
      <w:pPr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②小鼠造血干细胞中Ndrg2基因的mRNA基本为零</w:t>
      </w:r>
    </w:p>
    <w:p w14:paraId="72D1DA42">
      <w:pPr>
        <w:spacing w:line="240" w:lineRule="auto"/>
        <w:ind w:firstLine="420" w:firstLineChars="200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③利用抗原抗体杂交技术在造血干细胞中检测不到有Ndrg2蛋白</w:t>
      </w:r>
    </w:p>
    <w:p w14:paraId="0014FF9D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23. 果蝇是遗传学研究中常用的材料。摩尔根和他的学生绘制出了果蝇部分基因在Ⅱ号染色体上的相对位置，如下图所示。请回答下列问题：</w:t>
      </w:r>
    </w:p>
    <w:p w14:paraId="0F85033A">
      <w:pPr>
        <w:spacing w:line="240" w:lineRule="auto"/>
        <w:jc w:val="center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drawing>
          <wp:inline distT="0" distB="0" distL="114300" distR="114300">
            <wp:extent cx="3685540" cy="1544320"/>
            <wp:effectExtent l="0" t="0" r="10160" b="508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8554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2F44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（1）据图分析摩尔根选择果蝇作为遗传实验材料的原因是___________________________。</w:t>
      </w:r>
    </w:p>
    <w:p w14:paraId="0ECE7C48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2）长翅（A）对残翅（a）为显性，位于Ⅱ号染色体上。杂合长翅果蝇相互交配所得子代中长翅与残翅之比约等于15:1。研究发现该结果是雄果蝇产生的某种配子致死所致，则致死配子的基因型是________________，其致死率为_____________。</w:t>
      </w:r>
    </w:p>
    <w:p w14:paraId="085FF2FE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3）野生型翅脉对网状翅脉为显性，受一对等位基因控制。网状翅脉果蝇与纯合野生型翅脉果蝇杂交，正反交结果都是野生型翅脉。据此推测该对基因位于___________________上。将正反交所得所有子代雌雄果蝇相互交配，所得后代的基因型有_________种。</w:t>
      </w:r>
    </w:p>
    <w:p w14:paraId="3D9CE99A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（4）科研人员将D基因插入雄果蝇的一条Ⅲ号染色体上，将G基因（绿色荧光蛋白基因）插入到雌果蝇的一条X染色体上。同时含有D基因和G基因时，果蝇表现为绿翅，否则为无色翅。将上述雌雄果蝇杂交得F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，F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中绿翅：无色翅为___________。取F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1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中绿翅雌雄果蝇随机交配得F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，F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中无色翅雄果蝇占___________。若将G基因插入到Ⅱ号染色体上，同样做上述杂交实验，发现F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中绿翅：无色翅为9:7，将F</w:t>
      </w:r>
      <w:r>
        <w:rPr>
          <w:rFonts w:hint="eastAsia" w:ascii="宋体" w:hAnsi="宋体" w:eastAsia="宋体" w:cs="宋体"/>
          <w:color w:val="000000"/>
          <w:sz w:val="21"/>
          <w:szCs w:val="21"/>
          <w:vertAlign w:val="subscript"/>
        </w:rPr>
        <w:t>2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中的绿翅果蝇相互交配，共有_____种交配方式会导致后代出现性状分离。</w:t>
      </w:r>
    </w:p>
    <w:p w14:paraId="5D0D56EB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</w:p>
    <w:p w14:paraId="0B187F1F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</w:p>
    <w:p w14:paraId="114ACC65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</w:p>
    <w:p w14:paraId="117B0559">
      <w:pPr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/>
          <w:sz w:val="21"/>
          <w:szCs w:val="21"/>
        </w:rPr>
      </w:pPr>
    </w:p>
    <w:p w14:paraId="67947421">
      <w:pPr>
        <w:spacing w:line="240" w:lineRule="auto"/>
        <w:jc w:val="center"/>
        <w:textAlignment w:val="center"/>
        <w:rPr>
          <w:rFonts w:hint="eastAsia" w:ascii="Times New Roman" w:hAnsi="Times New Roman" w:eastAsia="Times New Roman" w:cs="Times New Roman"/>
          <w:b/>
          <w:color w:val="auto"/>
          <w:sz w:val="32"/>
        </w:rPr>
      </w:pPr>
      <w:r>
        <w:rPr>
          <w:rFonts w:hint="eastAsia" w:eastAsia="宋体" w:cs="Times New Roman"/>
          <w:b/>
          <w:color w:val="auto"/>
          <w:sz w:val="24"/>
          <w:szCs w:val="24"/>
          <w:lang w:eastAsia="zh-CN"/>
        </w:rPr>
        <w:t>苏通练习精品卷</w:t>
      </w:r>
      <w:r>
        <w:rPr>
          <w:rFonts w:hint="eastAsia" w:ascii="Times New Roman" w:hAnsi="Times New Roman" w:eastAsia="Times New Roman" w:cs="Times New Roman"/>
          <w:b/>
          <w:color w:val="auto"/>
          <w:sz w:val="24"/>
          <w:szCs w:val="24"/>
        </w:rPr>
        <w:t>2024届高三生物周练（十</w:t>
      </w:r>
      <w:r>
        <w:rPr>
          <w:rFonts w:hint="eastAsia" w:cs="Times New Roman"/>
          <w:b/>
          <w:color w:val="auto"/>
          <w:sz w:val="24"/>
          <w:szCs w:val="24"/>
          <w:lang w:val="en-US" w:eastAsia="zh-CN"/>
        </w:rPr>
        <w:t>六</w:t>
      </w:r>
      <w:r>
        <w:rPr>
          <w:rFonts w:hint="eastAsia" w:ascii="Times New Roman" w:hAnsi="Times New Roman" w:eastAsia="Times New Roman" w:cs="Times New Roman"/>
          <w:b/>
          <w:color w:val="auto"/>
          <w:sz w:val="24"/>
          <w:szCs w:val="24"/>
        </w:rPr>
        <w:t>）</w:t>
      </w:r>
    </w:p>
    <w:p w14:paraId="25A55ADB">
      <w:pPr>
        <w:spacing w:line="240" w:lineRule="auto"/>
        <w:jc w:val="center"/>
        <w:textAlignment w:val="center"/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  <w:t>参考答案：</w:t>
      </w:r>
    </w:p>
    <w:p w14:paraId="23C9FEBC">
      <w:pPr>
        <w:spacing w:line="240" w:lineRule="auto"/>
        <w:jc w:val="both"/>
        <w:textAlignment w:val="center"/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  <w:t>1-14： ADBDA   DDBCC   BCCB</w:t>
      </w:r>
    </w:p>
    <w:p w14:paraId="0CDF45F6">
      <w:pPr>
        <w:numPr>
          <w:ilvl w:val="0"/>
          <w:numId w:val="1"/>
        </w:numPr>
        <w:spacing w:line="240" w:lineRule="auto"/>
        <w:jc w:val="both"/>
        <w:textAlignment w:val="center"/>
        <w:rPr>
          <w:rFonts w:hint="default" w:ascii="宋体" w:hAnsi="宋体" w:cs="宋体"/>
          <w:b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  <w:t>ACD   16.BD   17.CD   18.BCD</w:t>
      </w:r>
    </w:p>
    <w:p w14:paraId="3D7ADA4C">
      <w:pPr>
        <w:spacing w:line="240" w:lineRule="auto"/>
        <w:textAlignment w:val="center"/>
        <w:rPr>
          <w:color w:val="FF0000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  <w:t>19.</w:t>
      </w:r>
      <w:r>
        <w:rPr>
          <w:rFonts w:hint="eastAsia"/>
          <w:color w:val="FF0000"/>
          <w:lang w:eastAsia="zh-CN"/>
        </w:rPr>
        <w:t>（</w:t>
      </w:r>
      <w:r>
        <w:rPr>
          <w:color w:val="FF0000"/>
        </w:rPr>
        <w:t>1）</w:t>
      </w:r>
      <w:r>
        <w:rPr>
          <w:rFonts w:ascii="宋体" w:hAnsi="宋体" w:eastAsia="宋体" w:cs="宋体"/>
          <w:color w:val="FF0000"/>
        </w:rPr>
        <w:t>一端（或头部）亲水、一端（或尾部）疏水</w:t>
      </w:r>
      <w:r>
        <w:rPr>
          <w:color w:val="FF0000"/>
        </w:rPr>
        <w:t xml:space="preserve"> 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color w:val="FF0000"/>
        </w:rPr>
        <w:t>（2）</w:t>
      </w:r>
      <w:r>
        <w:rPr>
          <w:rFonts w:ascii="Times New Roman" w:hAnsi="Times New Roman" w:eastAsia="Times New Roman" w:cs="Times New Roman"/>
          <w:color w:val="FF0000"/>
        </w:rPr>
        <w:t>a</w:t>
      </w:r>
      <w:r>
        <w:rPr>
          <w:color w:val="FF0000"/>
        </w:rPr>
        <w:t xml:space="preserve">   </w:t>
      </w:r>
      <w:r>
        <w:rPr>
          <w:rFonts w:ascii="Times New Roman" w:hAnsi="Times New Roman" w:eastAsia="Times New Roman" w:cs="Times New Roman"/>
          <w:color w:val="FF0000"/>
        </w:rPr>
        <w:t>C</w:t>
      </w:r>
      <w:r>
        <w:rPr>
          <w:color w:val="FF0000"/>
          <w:vertAlign w:val="subscript"/>
        </w:rPr>
        <w:t>3</w:t>
      </w:r>
      <w:r>
        <w:rPr>
          <w:rFonts w:ascii="宋体" w:hAnsi="宋体" w:eastAsia="宋体" w:cs="宋体"/>
          <w:color w:val="FF0000"/>
        </w:rPr>
        <w:t>的还原</w:t>
      </w:r>
      <w:r>
        <w:rPr>
          <w:color w:val="FF0000"/>
        </w:rPr>
        <w:t xml:space="preserve">  </w:t>
      </w:r>
      <w:r>
        <w:rPr>
          <w:rFonts w:ascii="宋体" w:hAnsi="宋体" w:eastAsia="宋体" w:cs="宋体"/>
          <w:color w:val="FF0000"/>
        </w:rPr>
        <w:t>提供能量、作还原剂</w:t>
      </w:r>
      <w:r>
        <w:rPr>
          <w:color w:val="FF0000"/>
        </w:rPr>
        <w:t xml:space="preserve">  </w:t>
      </w:r>
      <w:r>
        <w:rPr>
          <w:rFonts w:ascii="宋体" w:hAnsi="宋体" w:eastAsia="宋体" w:cs="宋体"/>
          <w:color w:val="FF0000"/>
        </w:rPr>
        <w:t>不进行细胞呼吸消耗，合成的有机物不运输出该系统，不需要用于自身组分的构建</w:t>
      </w:r>
      <w:r>
        <w:rPr>
          <w:color w:val="FF0000"/>
        </w:rPr>
        <w:t xml:space="preserve"> 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color w:val="FF0000"/>
        </w:rPr>
        <w:t>（3）</w:t>
      </w:r>
      <w:r>
        <w:rPr>
          <w:rFonts w:ascii="宋体" w:hAnsi="宋体" w:eastAsia="宋体" w:cs="宋体"/>
          <w:color w:val="FF0000"/>
        </w:rPr>
        <w:t>红光</w:t>
      </w:r>
      <w:r>
        <w:rPr>
          <w:color w:val="FF0000"/>
        </w:rPr>
        <w:t xml:space="preserve">  </w:t>
      </w:r>
      <w:r>
        <w:rPr>
          <w:rFonts w:ascii="宋体" w:hAnsi="宋体" w:eastAsia="宋体" w:cs="宋体"/>
          <w:color w:val="FF0000"/>
        </w:rPr>
        <w:t>叶绿素能吸收红光，类胡萝卜素不吸收红光；用红光检测可排除类胡萝卜素对结果的干扰</w:t>
      </w:r>
      <w:r>
        <w:rPr>
          <w:color w:val="FF0000"/>
        </w:rPr>
        <w:t xml:space="preserve"> 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color w:val="FF0000"/>
        </w:rPr>
        <w:t>（4）</w:t>
      </w:r>
      <w:r>
        <w:rPr>
          <w:rFonts w:ascii="宋体" w:hAnsi="宋体" w:eastAsia="宋体" w:cs="宋体"/>
          <w:color w:val="FF0000"/>
        </w:rPr>
        <w:t>水温改变</w:t>
      </w:r>
      <w:r>
        <w:rPr>
          <w:color w:val="FF0000"/>
        </w:rPr>
        <w:t xml:space="preserve">  </w:t>
      </w:r>
      <w:r>
        <w:rPr>
          <w:rFonts w:ascii="宋体" w:hAnsi="宋体" w:eastAsia="宋体" w:cs="宋体"/>
          <w:color w:val="FF0000"/>
        </w:rPr>
        <w:t>杀死细胞（或使酶失活），停止（光合）反应（或代谢）</w:t>
      </w:r>
      <w:r>
        <w:rPr>
          <w:color w:val="FF0000"/>
        </w:rPr>
        <w:t xml:space="preserve">  </w:t>
      </w:r>
      <w:r>
        <w:rPr>
          <w:rFonts w:ascii="Times New Roman" w:hAnsi="Times New Roman" w:eastAsia="Times New Roman" w:cs="Times New Roman"/>
          <w:color w:val="FF0000"/>
        </w:rPr>
        <w:t>X</w:t>
      </w:r>
      <w:r>
        <w:rPr>
          <w:rFonts w:ascii="宋体" w:hAnsi="宋体" w:eastAsia="宋体" w:cs="宋体"/>
          <w:color w:val="FF0000"/>
        </w:rPr>
        <w:t>、</w:t>
      </w:r>
      <w:r>
        <w:rPr>
          <w:rFonts w:ascii="Times New Roman" w:hAnsi="Times New Roman" w:eastAsia="Times New Roman" w:cs="Times New Roman"/>
          <w:color w:val="FF0000"/>
        </w:rPr>
        <w:t>Y</w:t>
      </w:r>
      <w:r>
        <w:rPr>
          <w:rFonts w:ascii="宋体" w:hAnsi="宋体" w:eastAsia="宋体" w:cs="宋体"/>
          <w:color w:val="FF0000"/>
        </w:rPr>
        <w:t>、</w:t>
      </w:r>
      <w:r>
        <w:rPr>
          <w:rFonts w:ascii="Times New Roman" w:hAnsi="Times New Roman" w:eastAsia="Times New Roman" w:cs="Times New Roman"/>
          <w:color w:val="FF0000"/>
        </w:rPr>
        <w:t>Z</w:t>
      </w:r>
    </w:p>
    <w:p w14:paraId="3C5F9363">
      <w:pPr>
        <w:spacing w:line="240" w:lineRule="auto"/>
        <w:textAlignment w:val="center"/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</w:pPr>
    </w:p>
    <w:p w14:paraId="12AF8FF6">
      <w:pPr>
        <w:spacing w:line="240" w:lineRule="auto"/>
        <w:textAlignment w:val="center"/>
        <w:rPr>
          <w:color w:val="000000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  <w:t>20.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协同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神经和体液</w:t>
      </w:r>
      <w:r>
        <w:rPr>
          <w:color w:val="000000"/>
        </w:rPr>
        <w:t xml:space="preserve"> 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（消化糖类、脂肪和蛋白质的）多种消化酶</w:t>
      </w:r>
      <w:r>
        <w:rPr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（中和进入十二指肠的酸）提供胰酶适宜的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（环境）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使蛋白质变性利于蛋白酶催化分解；刺激小肠产生促胰液素（和缩胆囊素）</w:t>
      </w:r>
      <w:r>
        <w:rPr>
          <w:color w:val="000000"/>
        </w:rPr>
        <w:t xml:space="preserve"> 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细胞膜上</w:t>
      </w:r>
      <w:r>
        <w:rPr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增加</w:t>
      </w:r>
      <w:r>
        <w:rPr>
          <w:color w:val="000000"/>
        </w:rPr>
        <w:t xml:space="preserve"> （5）</w:t>
      </w:r>
      <w:r>
        <w:rPr>
          <w:rFonts w:ascii="宋体" w:hAnsi="宋体" w:eastAsia="宋体" w:cs="宋体"/>
          <w:color w:val="000000"/>
        </w:rPr>
        <w:t>正反馈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溶酶体</w:t>
      </w:r>
      <w:r>
        <w:rPr>
          <w:color w:val="000000"/>
        </w:rPr>
        <w:t xml:space="preserve"> 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①②③</w:t>
      </w:r>
    </w:p>
    <w:p w14:paraId="3FE7BAF9">
      <w:pPr>
        <w:numPr>
          <w:ilvl w:val="0"/>
          <w:numId w:val="0"/>
        </w:numPr>
        <w:spacing w:line="240" w:lineRule="auto"/>
        <w:jc w:val="both"/>
        <w:textAlignment w:val="center"/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</w:pPr>
    </w:p>
    <w:p w14:paraId="1638269C">
      <w:pPr>
        <w:spacing w:line="240" w:lineRule="auto"/>
        <w:textAlignment w:val="center"/>
        <w:rPr>
          <w:color w:val="000000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  <w:t>21.</w:t>
      </w:r>
      <w:r>
        <w:rPr>
          <w:rFonts w:hint="eastAsia" w:ascii="宋体" w:hAnsi="宋体" w:cs="宋体"/>
          <w:color w:val="000000"/>
          <w:lang w:eastAsia="zh-CN"/>
        </w:rPr>
        <w:t>（</w:t>
      </w:r>
      <w:r>
        <w:rPr>
          <w:rFonts w:hint="eastAsia" w:ascii="宋体" w:hAnsi="宋体" w:cs="宋体"/>
          <w:color w:val="000000"/>
          <w:lang w:val="en-US" w:eastAsia="zh-CN"/>
        </w:rPr>
        <w:t>1</w:t>
      </w:r>
      <w:r>
        <w:rPr>
          <w:rFonts w:hint="eastAsia" w:ascii="宋体" w:hAnsi="宋体" w:cs="宋体"/>
          <w:color w:val="000000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④</w:t>
      </w:r>
      <w:r>
        <w:rPr>
          <w:color w:val="000000"/>
        </w:rPr>
        <w:t xml:space="preserve">  </w:t>
      </w:r>
      <w:r>
        <w:rPr>
          <w:rFonts w:hint="eastAsia"/>
          <w:color w:val="000000"/>
          <w:lang w:eastAsia="zh-CN"/>
        </w:rPr>
        <w:t>（</w:t>
      </w:r>
      <w:r>
        <w:rPr>
          <w:rFonts w:hint="eastAsia"/>
          <w:color w:val="000000"/>
          <w:lang w:val="en-US" w:eastAsia="zh-CN"/>
        </w:rPr>
        <w:t>2</w:t>
      </w:r>
      <w:r>
        <w:rPr>
          <w:rFonts w:hint="eastAsia"/>
          <w:color w:val="000000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高于</w:t>
      </w:r>
      <w:r>
        <w:rPr>
          <w:color w:val="000000"/>
        </w:rPr>
        <w:t xml:space="preserve">  </w:t>
      </w:r>
      <w:r>
        <w:rPr>
          <w:rFonts w:ascii="宋体" w:hAnsi="宋体" w:eastAsia="宋体" w:cs="宋体"/>
          <w:color w:val="000000"/>
        </w:rPr>
        <w:t>木质素和酚的含量较低（或单糖、半纤维素和纤维素含量较高）</w:t>
      </w:r>
      <w:r>
        <w:rPr>
          <w:rFonts w:hint="eastAsia" w:ascii="宋体" w:hAnsi="宋体" w:cs="宋体"/>
          <w:color w:val="000000"/>
          <w:lang w:val="en-US" w:eastAsia="zh-CN"/>
        </w:rPr>
        <w:t xml:space="preserve">  </w:t>
      </w:r>
      <w:r>
        <w:rPr>
          <w:rFonts w:hint="eastAsia"/>
          <w:color w:val="000000"/>
          <w:lang w:eastAsia="zh-CN"/>
        </w:rPr>
        <w:t>（</w:t>
      </w:r>
      <w:r>
        <w:rPr>
          <w:color w:val="000000"/>
        </w:rPr>
        <w:t>3</w:t>
      </w:r>
      <w:r>
        <w:rPr>
          <w:rFonts w:hint="eastAsia"/>
          <w:color w:val="000000"/>
          <w:lang w:eastAsia="zh-CN"/>
        </w:rPr>
        <w:t>）</w:t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有机物含量丰富，缺氧抑制微生物的分解作用，（有机质积累多）</w:t>
      </w:r>
      <w:r>
        <w:rPr>
          <w:color w:val="000000"/>
        </w:rPr>
        <w:t xml:space="preserve">    ②. 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（氮）</w:t>
      </w:r>
      <w:r>
        <w:rPr>
          <w:color w:val="000000"/>
        </w:rPr>
        <w:t xml:space="preserve">    </w:t>
      </w:r>
    </w:p>
    <w:p w14:paraId="43F017A4">
      <w:pPr>
        <w:spacing w:line="240" w:lineRule="auto"/>
        <w:textAlignment w:val="center"/>
        <w:rPr>
          <w:color w:val="000000"/>
        </w:rPr>
      </w:pPr>
      <w:r>
        <w:rPr>
          <w:rFonts w:hint="eastAsia"/>
          <w:color w:val="000000"/>
          <w:lang w:eastAsia="zh-CN"/>
        </w:rPr>
        <w:t>（</w:t>
      </w:r>
      <w:r>
        <w:rPr>
          <w:color w:val="000000"/>
        </w:rPr>
        <w:t>4</w:t>
      </w:r>
      <w:r>
        <w:rPr>
          <w:rFonts w:hint="eastAsia"/>
          <w:color w:val="000000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分解者</w:t>
      </w:r>
      <w:r>
        <w:rPr>
          <w:color w:val="000000"/>
        </w:rPr>
        <w:t xml:space="preserve">    </w:t>
      </w:r>
      <w:r>
        <w:rPr>
          <w:rFonts w:hint="eastAsia"/>
          <w:color w:val="000000"/>
          <w:lang w:eastAsia="zh-CN"/>
        </w:rPr>
        <w:t>（</w:t>
      </w:r>
      <w:r>
        <w:rPr>
          <w:color w:val="000000"/>
        </w:rPr>
        <w:t>5</w:t>
      </w:r>
      <w:r>
        <w:rPr>
          <w:rFonts w:hint="eastAsia"/>
          <w:color w:val="000000"/>
          <w:lang w:eastAsia="zh-CN"/>
        </w:rPr>
        <w:t>）</w:t>
      </w:r>
      <w:r>
        <w:rPr>
          <w:rFonts w:ascii="宋体" w:hAnsi="宋体" w:eastAsia="宋体" w:cs="宋体"/>
          <w:color w:val="000000"/>
        </w:rPr>
        <w:t>无需摄食，减少能量浪费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不存在未利用的能量</w:t>
      </w:r>
    </w:p>
    <w:p w14:paraId="755F29D7">
      <w:pPr>
        <w:numPr>
          <w:ilvl w:val="0"/>
          <w:numId w:val="0"/>
        </w:numPr>
        <w:spacing w:line="240" w:lineRule="auto"/>
        <w:jc w:val="both"/>
        <w:textAlignment w:val="center"/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</w:pPr>
    </w:p>
    <w:p w14:paraId="09023922">
      <w:pPr>
        <w:spacing w:line="240" w:lineRule="auto"/>
        <w:textAlignment w:val="center"/>
        <w:rPr>
          <w:color w:val="000000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  <w:t>22.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②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2</w:t>
      </w:r>
      <w:r>
        <w:rPr>
          <w:color w:val="000000"/>
        </w:rPr>
        <w:t xml:space="preserve">  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限制酶和</w:t>
      </w:r>
      <w:r>
        <w:rPr>
          <w:rFonts w:ascii="Times New Roman" w:hAnsi="Times New Roman" w:eastAsia="Times New Roman" w:cs="Times New Roman"/>
          <w:color w:val="000000"/>
        </w:rPr>
        <w:t>DNA</w:t>
      </w:r>
      <w:r>
        <w:rPr>
          <w:rFonts w:ascii="宋体" w:hAnsi="宋体" w:eastAsia="宋体" w:cs="宋体"/>
          <w:color w:val="000000"/>
        </w:rPr>
        <w:t>连接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染色体结构变异（或倒位）</w:t>
      </w:r>
      <w:r>
        <w:rPr>
          <w:color w:val="000000"/>
        </w:rPr>
        <w:t xml:space="preserve"> （3）</w:t>
      </w:r>
      <w:r>
        <w:rPr>
          <w:rFonts w:ascii="Times New Roman" w:hAnsi="Times New Roman" w:eastAsia="Times New Roman" w:cs="Times New Roman"/>
          <w:color w:val="000000"/>
        </w:rPr>
        <w:t>HindIⅢ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Sau3I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>HindⅢ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BclI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（与</w:t>
      </w:r>
      <w:r>
        <w:rPr>
          <w:rFonts w:ascii="Times New Roman" w:hAnsi="Times New Roman" w:eastAsia="Times New Roman" w:cs="Times New Roman"/>
          <w:color w:val="000000"/>
        </w:rPr>
        <w:t>RNA</w:t>
      </w:r>
      <w:r>
        <w:rPr>
          <w:rFonts w:ascii="宋体" w:hAnsi="宋体" w:eastAsia="宋体" w:cs="宋体"/>
          <w:color w:val="000000"/>
        </w:rPr>
        <w:t>聚合酶结合，）驱动基因转录出</w:t>
      </w:r>
      <w:r>
        <w:rPr>
          <w:rFonts w:ascii="Times New Roman" w:hAnsi="Times New Roman" w:eastAsia="Times New Roman" w:cs="Times New Roman"/>
          <w:color w:val="000000"/>
        </w:rPr>
        <w:t>mRNA</w:t>
      </w:r>
      <w:r>
        <w:rPr>
          <w:color w:val="000000"/>
        </w:rPr>
        <w:t xml:space="preserve"> （4）</w:t>
      </w:r>
      <w:r>
        <w:rPr>
          <w:rFonts w:ascii="宋体" w:hAnsi="宋体" w:eastAsia="宋体" w:cs="宋体"/>
          <w:color w:val="000000"/>
        </w:rPr>
        <w:t>受精卵</w:t>
      </w:r>
      <w:r>
        <w:rPr>
          <w:color w:val="000000"/>
        </w:rPr>
        <w:t xml:space="preserve">    （5）</w:t>
      </w:r>
      <w:r>
        <w:rPr>
          <w:rFonts w:ascii="Times New Roman" w:hAnsi="Times New Roman" w:eastAsia="Times New Roman" w:cs="Times New Roman"/>
          <w:color w:val="000000"/>
        </w:rPr>
        <w:t>1/4</w:t>
      </w:r>
      <w:r>
        <w:rPr>
          <w:color w:val="000000"/>
        </w:rPr>
        <w:t xml:space="preserve">  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②③</w:t>
      </w:r>
    </w:p>
    <w:p w14:paraId="212B2083">
      <w:pPr>
        <w:numPr>
          <w:ilvl w:val="0"/>
          <w:numId w:val="0"/>
        </w:numPr>
        <w:spacing w:line="240" w:lineRule="auto"/>
        <w:jc w:val="both"/>
        <w:textAlignment w:val="center"/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</w:pPr>
    </w:p>
    <w:p w14:paraId="22073573">
      <w:pPr>
        <w:spacing w:line="240" w:lineRule="auto"/>
        <w:textAlignment w:val="center"/>
        <w:rPr>
          <w:color w:val="000000"/>
        </w:rPr>
      </w:pPr>
      <w:r>
        <w:rPr>
          <w:rFonts w:hint="eastAsia" w:ascii="宋体" w:hAnsi="宋体" w:cs="宋体"/>
          <w:b/>
          <w:color w:val="auto"/>
          <w:sz w:val="21"/>
          <w:szCs w:val="21"/>
          <w:lang w:val="en-US" w:eastAsia="zh-CN"/>
        </w:rPr>
        <w:t>23.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具有易于区分的（多对）相对性状</w:t>
      </w:r>
      <w:r>
        <w:rPr>
          <w:color w:val="000000"/>
        </w:rPr>
        <w:t xml:space="preserve"> 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a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>6/7</w:t>
      </w:r>
      <w:r>
        <w:rPr>
          <w:color w:val="000000"/>
        </w:rPr>
        <w:t xml:space="preserve">  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常染色体或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染色体同源区域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或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color w:val="000000"/>
        </w:rPr>
        <w:t xml:space="preserve"> </w:t>
      </w:r>
      <w:r>
        <w:rPr>
          <w:rFonts w:hint="eastAsia"/>
          <w:color w:val="000000"/>
          <w:lang w:val="en-US" w:eastAsia="zh-CN"/>
        </w:rPr>
        <w:t xml:space="preserve"> </w:t>
      </w: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1:3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>5/16</w:t>
      </w:r>
      <w:r>
        <w:rPr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5</w:t>
      </w:r>
    </w:p>
    <w:p w14:paraId="60C1873D">
      <w:pPr>
        <w:numPr>
          <w:ilvl w:val="0"/>
          <w:numId w:val="0"/>
        </w:numPr>
        <w:spacing w:line="240" w:lineRule="auto"/>
        <w:jc w:val="both"/>
        <w:textAlignment w:val="center"/>
        <w:rPr>
          <w:rFonts w:hint="default" w:ascii="宋体" w:hAnsi="宋体" w:cs="宋体"/>
          <w:b/>
          <w:color w:val="auto"/>
          <w:sz w:val="21"/>
          <w:szCs w:val="21"/>
          <w:lang w:val="en-US" w:eastAsia="zh-C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0431" w:h="14740"/>
      <w:pgMar w:top="964" w:right="1020" w:bottom="964" w:left="102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5F6772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4468D282">
    <w:pPr>
      <w:pStyle w:val="2"/>
    </w:pPr>
  </w:p>
  <w:p w14:paraId="6CFC66B7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9D1E70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42376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2DF358">
    <w:pPr>
      <w:pStyle w:val="3"/>
      <w:pBdr>
        <w:bottom w:val="none" w:color="auto" w:sz="0" w:space="0"/>
      </w:pBdr>
      <w:rPr>
        <w:rFonts w:cs="Times New Roman"/>
        <w:kern w:val="0"/>
        <w:sz w:val="2"/>
        <w:szCs w:val="2"/>
      </w:rPr>
    </w:pPr>
    <w:r>
      <w:t xml:space="preserve"> </w:t>
    </w: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D5D104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1E7474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B7C54F"/>
    <w:multiLevelType w:val="singleLevel"/>
    <w:tmpl w:val="30B7C54F"/>
    <w:lvl w:ilvl="0" w:tentative="0">
      <w:start w:val="15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Q1MzU4MjliZDMzMDQyZDQ4YjgxZTNhNTk4NDJkYjE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5FDF5292"/>
    <w:rsid w:val="64020338"/>
    <w:rsid w:val="7104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autoRedefine/>
    <w:unhideWhenUsed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autoRedefine/>
    <w:qFormat/>
    <w:uiPriority w:val="99"/>
    <w:rPr>
      <w:kern w:val="2"/>
      <w:sz w:val="18"/>
      <w:szCs w:val="24"/>
    </w:rPr>
  </w:style>
  <w:style w:type="paragraph" w:styleId="9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wmf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2024-01-29T09:00:00Z</dcterms:created>
  <dc:creator>学科网试题生产平台</dc:creator>
  <dc:description>3418643557613568</dc:description>
  <cp:lastModifiedBy>Jason mi</cp:lastModifiedBy>
  <dcterms:modified xsi:type="dcterms:W3CDTF">2024-07-15T04:15:57Z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2052-12.1.0.17147</vt:lpwstr>
  </property>
  <property fmtid="{D5CDD505-2E9C-101B-9397-08002B2CF9AE}" pid="7" name="ICV">
    <vt:lpwstr>CBAD6B947EE44C43AA57F493169A0CA1_12</vt:lpwstr>
  </property>
</Properties>
</file>