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9F0E4A">
      <w:pPr>
        <w:spacing w:line="240" w:lineRule="auto"/>
        <w:jc w:val="center"/>
        <w:rPr>
          <w:rFonts w:hint="eastAsia" w:ascii="Times New Roman" w:hAnsi="Times New Roman" w:eastAsia="Times New Roman" w:cs="Times New Roman"/>
          <w:b/>
          <w:color w:val="auto"/>
          <w:sz w:val="32"/>
        </w:rPr>
      </w:pPr>
      <w:r>
        <w:rPr>
          <w:rFonts w:hint="eastAsia" w:cs="Times New Roman"/>
          <w:b/>
          <w:color w:val="auto"/>
          <w:sz w:val="32"/>
          <w:lang w:eastAsia="zh-CN"/>
        </w:rPr>
        <w:t>苏通练习精品卷</w:t>
      </w:r>
      <w:r>
        <w:rPr>
          <w:rFonts w:hint="eastAsia" w:ascii="Times New Roman" w:hAnsi="Times New Roman" w:eastAsia="Times New Roman" w:cs="Times New Roman"/>
          <w:b/>
          <w:color w:val="auto"/>
          <w:sz w:val="32"/>
        </w:rPr>
        <w:t>2024届高三生物周练（</w:t>
      </w:r>
      <w:r>
        <w:rPr>
          <w:rFonts w:hint="eastAsia" w:cs="Times New Roman"/>
          <w:b/>
          <w:color w:val="auto"/>
          <w:sz w:val="32"/>
          <w:lang w:val="en-US" w:eastAsia="zh-CN"/>
        </w:rPr>
        <w:t>二</w:t>
      </w:r>
      <w:r>
        <w:rPr>
          <w:rFonts w:hint="eastAsia" w:ascii="Times New Roman" w:hAnsi="Times New Roman" w:eastAsia="Times New Roman" w:cs="Times New Roman"/>
          <w:b/>
          <w:color w:val="auto"/>
          <w:sz w:val="32"/>
        </w:rPr>
        <w:t>十</w:t>
      </w:r>
      <w:r>
        <w:rPr>
          <w:rFonts w:hint="eastAsia" w:cs="Times New Roman"/>
          <w:b/>
          <w:color w:val="auto"/>
          <w:sz w:val="32"/>
          <w:lang w:val="en-US" w:eastAsia="zh-CN"/>
        </w:rPr>
        <w:t>六</w:t>
      </w:r>
      <w:r>
        <w:rPr>
          <w:rFonts w:hint="eastAsia" w:ascii="Times New Roman" w:hAnsi="Times New Roman" w:eastAsia="Times New Roman" w:cs="Times New Roman"/>
          <w:b/>
          <w:color w:val="auto"/>
          <w:sz w:val="32"/>
        </w:rPr>
        <w:t>）</w:t>
      </w:r>
    </w:p>
    <w:p w14:paraId="602D1C3C">
      <w:pPr>
        <w:spacing w:line="240" w:lineRule="auto"/>
        <w:jc w:val="center"/>
        <w:rPr>
          <w:rFonts w:hint="default"/>
          <w:color w:val="auto"/>
          <w:lang w:val="en-US"/>
        </w:rPr>
      </w:pPr>
      <w:r>
        <w:rPr>
          <w:color w:val="auto"/>
        </w:rPr>
        <w:t xml:space="preserve"> </w:t>
      </w: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10325100</wp:posOffset>
            </wp:positionH>
            <wp:positionV relativeFrom="topMargin">
              <wp:posOffset>10464800</wp:posOffset>
            </wp:positionV>
            <wp:extent cx="317500" cy="3302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10"/>
                    <a:stretch>
                      <a:fillRect/>
                    </a:stretch>
                  </pic:blipFill>
                  <pic:spPr>
                    <a:xfrm>
                      <a:off x="0" y="0"/>
                      <a:ext cx="317500" cy="330200"/>
                    </a:xfrm>
                    <a:prstGeom prst="rect">
                      <a:avLst/>
                    </a:prstGeom>
                  </pic:spPr>
                </pic:pic>
              </a:graphicData>
            </a:graphic>
          </wp:anchor>
        </w:drawing>
      </w:r>
      <w:r>
        <w:rPr>
          <w:rFonts w:hint="eastAsia" w:ascii="宋体" w:hAnsi="宋体" w:cs="宋体"/>
          <w:color w:val="auto"/>
          <w:lang w:val="en-US" w:eastAsia="zh-CN"/>
        </w:rPr>
        <w:t>班级：_________    姓名：______________   学号：_________</w:t>
      </w:r>
    </w:p>
    <w:p w14:paraId="32A2DCE6">
      <w:pPr>
        <w:tabs>
          <w:tab w:val="left" w:pos="2520"/>
          <w:tab w:val="left" w:pos="5040"/>
          <w:tab w:val="left" w:pos="7560"/>
        </w:tabs>
        <w:spacing w:line="240" w:lineRule="auto"/>
        <w:rPr>
          <w:b/>
          <w:bCs/>
          <w:color w:val="auto"/>
          <w:sz w:val="24"/>
          <w:szCs w:val="32"/>
        </w:rPr>
      </w:pPr>
      <w:r>
        <w:rPr>
          <w:rFonts w:hint="eastAsia"/>
          <w:b/>
          <w:bCs/>
          <w:color w:val="auto"/>
          <w:sz w:val="21"/>
          <w:szCs w:val="21"/>
        </w:rPr>
        <w:t>一、单项选择题：本部分包括14题，每题2分，共计28分。每题只有一个选项最符合题意。</w:t>
      </w:r>
    </w:p>
    <w:p w14:paraId="3E63BFF9">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1．组成细胞的分子是生命的物质基础。下列相关说法错误的是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p>
    <w:p w14:paraId="2D12CBB9">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A.低钾血症患者神经细胞兴奋性降低</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B.所有细胞生物的遗传物质都含脱氧核糖</w:t>
      </w:r>
    </w:p>
    <w:p w14:paraId="2F27C54B">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C.蛋白质盘旋、折叠的过程中可能涉及氢键的形成</w:t>
      </w:r>
    </w:p>
    <w:p w14:paraId="22675B1D">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D.组成细胞的水主要是结合水，自由水参与细胞内许多生物化学反应</w:t>
      </w:r>
    </w:p>
    <w:p w14:paraId="0B1C3B28">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2．下列关于细胞结构的说法正确的是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p>
    <w:p w14:paraId="00858EAD">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A.内质网中能合成各类膜结构所需的磷脂</w:t>
      </w:r>
    </w:p>
    <w:p w14:paraId="5EB2A9F4">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B.叶的表皮细胞和叶肉细胞中含有叶绿体和液泡</w:t>
      </w:r>
    </w:p>
    <w:p w14:paraId="0F47CE5D">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C.含核酸的细胞器有中心体、核糖体、线粒体和叶绿体</w:t>
      </w:r>
    </w:p>
    <w:p w14:paraId="68E1F1A2">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D.与分泌蛋白合成和分泌有关的细胞器膜都属于生物膜系统</w:t>
      </w:r>
    </w:p>
    <w:p w14:paraId="6E2EDD87">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3．下列关于动物细胞生命历程的说法正确的是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p>
    <w:p w14:paraId="184A5DB0">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A.细胞分化后核酸种类不变体现细胞分化的稳定性</w:t>
      </w:r>
    </w:p>
    <w:p w14:paraId="7A68CD12">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B.细胞生长导致细胞体积增大，有利于和周围环境进行物质交换</w:t>
      </w:r>
    </w:p>
    <w:p w14:paraId="40C59120">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C.有丝分裂时细胞核先于细胞质分裂，中心体先于姐妹染色单体分离</w:t>
      </w:r>
    </w:p>
    <w:p w14:paraId="2A7F03CA">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D.细胞凋亡是所有细胞都要经历的一个阶段，细胞膜仍具一定的流动性</w:t>
      </w:r>
    </w:p>
    <w:p w14:paraId="3CD7B14D">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4</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细胞是一个开放的系统，每时每刻都与环境进行着物质交换。左图中①～⑤表示物质进出细胞方式，甲～戊表示不同的物质或细胞结构，右图为蔗糖分子进入某植物细胞的过程示意图。下列相关说法错误的是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p>
    <w:p w14:paraId="35F72509">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1"/>
          <w:szCs w:val="21"/>
        </w:rPr>
      </w:pPr>
      <w:r>
        <w:rPr>
          <w:color w:val="auto"/>
        </w:rPr>
        <w:drawing>
          <wp:inline distT="0" distB="0" distL="114300" distR="114300">
            <wp:extent cx="4001770" cy="1181100"/>
            <wp:effectExtent l="0" t="0" r="1143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lum bright="-6000" contrast="12000"/>
                    </a:blip>
                    <a:stretch>
                      <a:fillRect/>
                    </a:stretch>
                  </pic:blipFill>
                  <pic:spPr>
                    <a:xfrm>
                      <a:off x="0" y="0"/>
                      <a:ext cx="4001770" cy="1181100"/>
                    </a:xfrm>
                    <a:prstGeom prst="rect">
                      <a:avLst/>
                    </a:prstGeom>
                    <a:noFill/>
                    <a:ln>
                      <a:noFill/>
                    </a:ln>
                  </pic:spPr>
                </pic:pic>
              </a:graphicData>
            </a:graphic>
          </wp:inline>
        </w:drawing>
      </w:r>
    </w:p>
    <w:p w14:paraId="6134FEB3">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A.若左图中戊为药物的运载体，则药物A属于水溶性分子</w:t>
      </w:r>
    </w:p>
    <w:p w14:paraId="43EED3DC">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B.右图中H</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出细胞的方式为主动运输，蔗糖进细胞的方式为协助扩散</w:t>
      </w:r>
    </w:p>
    <w:p w14:paraId="41876FD4">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C.低温处理法对左图中物质进出细胞方式都有影响，细胞呼吸抑制法则对④⑤方式有影响</w:t>
      </w:r>
    </w:p>
    <w:p w14:paraId="701C6C42">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D.除一些不带电荷的小分子可以左图中甲方式进出细胞外，离子和较小的有机分子的跨膜运输须借助于膜蛋白</w:t>
      </w:r>
    </w:p>
    <w:p w14:paraId="0F3D9A95">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5</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一个基因型为AaBb的精原细胞进行有丝分裂时，一对同源染色体的非姐妹染色单体发生了交换，结果如图所示。若此次有丝分裂产生的子细胞均进入减数分裂，且之后未发生突变和互换。下列与上述细胞分裂相关的叙述，正确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p>
    <w:p w14:paraId="73AC4CCA">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drawing>
          <wp:anchor distT="0" distB="0" distL="114300" distR="114300" simplePos="0" relativeHeight="251660288" behindDoc="1" locked="0" layoutInCell="1" allowOverlap="1">
            <wp:simplePos x="0" y="0"/>
            <wp:positionH relativeFrom="column">
              <wp:posOffset>4191000</wp:posOffset>
            </wp:positionH>
            <wp:positionV relativeFrom="paragraph">
              <wp:posOffset>26035</wp:posOffset>
            </wp:positionV>
            <wp:extent cx="1033780" cy="975360"/>
            <wp:effectExtent l="0" t="0" r="7620" b="2540"/>
            <wp:wrapTight wrapText="bothSides">
              <wp:wrapPolygon>
                <wp:start x="0" y="0"/>
                <wp:lineTo x="0" y="21375"/>
                <wp:lineTo x="21229" y="21375"/>
                <wp:lineTo x="21229" y="0"/>
                <wp:lineTo x="0" y="0"/>
              </wp:wrapPolygon>
            </wp:wrapTight>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lum bright="-12000" contrast="24000"/>
                    </a:blip>
                    <a:srcRect t="4232" r="1333" b="6725"/>
                    <a:stretch>
                      <a:fillRect/>
                    </a:stretch>
                  </pic:blipFill>
                  <pic:spPr>
                    <a:xfrm>
                      <a:off x="0" y="0"/>
                      <a:ext cx="1033780" cy="975360"/>
                    </a:xfrm>
                    <a:prstGeom prst="rect">
                      <a:avLst/>
                    </a:prstGeom>
                    <a:noFill/>
                    <a:ln w="9525">
                      <a:noFill/>
                    </a:ln>
                  </pic:spPr>
                </pic:pic>
              </a:graphicData>
            </a:graphic>
          </wp:anchor>
        </w:drawing>
      </w:r>
    </w:p>
    <w:p w14:paraId="7B1F1B24">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此次有丝分裂产生的子细胞的基因型为Aabb和AaBB</w:t>
      </w:r>
    </w:p>
    <w:p w14:paraId="30BC255A">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减数第二次分裂产生的子细胞的基因组成有2或4种类型</w:t>
      </w:r>
    </w:p>
    <w:p w14:paraId="4280D642">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C.减数第一次分裂和减数第二次分裂过程中均有等位基因的分离</w:t>
      </w:r>
    </w:p>
    <w:p w14:paraId="5069F872">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减数第一次分裂产生的子细胞中，基因组成为AAbb的细胞占1</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4</w:t>
      </w:r>
    </w:p>
    <w:p w14:paraId="40C79F8A">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6</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通过碱基修饰的新冠 RNA疫苗可以降低炎症反应和增加刺突蛋白合成。某新冠疫苗中常用N1-甲基假尿苷修饰，但在少数情况下会导致RNA翻译过程中的</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＋1核糖体移码</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，如图，合成</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脱靶蛋白</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。（注：CCU脯氨酸；UGC半胱氨酸；CUU亮氨酸；GCC丙氨酸）下列说法错误的是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p>
    <w:p w14:paraId="67C821EF">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color w:val="auto"/>
        </w:rPr>
        <w:drawing>
          <wp:anchor distT="0" distB="0" distL="114300" distR="114300" simplePos="0" relativeHeight="251664384" behindDoc="1" locked="0" layoutInCell="1" allowOverlap="1">
            <wp:simplePos x="0" y="0"/>
            <wp:positionH relativeFrom="column">
              <wp:posOffset>2930525</wp:posOffset>
            </wp:positionH>
            <wp:positionV relativeFrom="paragraph">
              <wp:posOffset>43815</wp:posOffset>
            </wp:positionV>
            <wp:extent cx="2364105" cy="1141730"/>
            <wp:effectExtent l="0" t="0" r="36195" b="1270"/>
            <wp:wrapTight wrapText="bothSides">
              <wp:wrapPolygon>
                <wp:start x="0" y="0"/>
                <wp:lineTo x="0" y="21384"/>
                <wp:lineTo x="21467" y="21384"/>
                <wp:lineTo x="21467" y="0"/>
                <wp:lineTo x="0" y="0"/>
              </wp:wrapPolygon>
            </wp:wrapTight>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2364105" cy="1141730"/>
                    </a:xfrm>
                    <a:prstGeom prst="rect">
                      <a:avLst/>
                    </a:prstGeom>
                    <a:noFill/>
                    <a:ln>
                      <a:noFill/>
                    </a:ln>
                  </pic:spPr>
                </pic:pic>
              </a:graphicData>
            </a:graphic>
          </wp:anchor>
        </w:drawing>
      </w:r>
      <w:r>
        <w:rPr>
          <w:rFonts w:hint="eastAsia" w:ascii="宋体" w:hAnsi="宋体" w:eastAsia="宋体" w:cs="宋体"/>
          <w:color w:val="auto"/>
          <w:sz w:val="21"/>
          <w:szCs w:val="21"/>
        </w:rPr>
        <w:t>A．N1-甲基假尿苷修饰后新冠 RNA碱基序列未发生改变</w:t>
      </w:r>
    </w:p>
    <w:p w14:paraId="527EE4F1">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B．经过修饰的RNA稳定性提高，沿核糖体由5＇→3＇翻译出更多的刺突蛋白</w:t>
      </w:r>
    </w:p>
    <w:p w14:paraId="34046608">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脱靶蛋白</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与新冠抗原蛋白结构不同，不一定引发预期免疫反应</w:t>
      </w:r>
    </w:p>
    <w:p w14:paraId="40F64287">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D.与灭活疫苗相比，新冠RNA疫苗可激发体液免疫和细胞免疫</w:t>
      </w:r>
    </w:p>
    <w:p w14:paraId="6AFDC0C7">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7．下列有关科学史的描述错误的是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p>
    <w:p w14:paraId="7E184ED7">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A.孟德尔利用演绎推理的方法为遗传规律的假说提供间接证据</w:t>
      </w:r>
    </w:p>
    <w:p w14:paraId="190D39C6">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B.赫尔希和蔡斯通过实验证明 DNA是遗传物质利用了物质提纯技术、细菌培养技术</w:t>
      </w:r>
    </w:p>
    <w:p w14:paraId="35213A58">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C.达尔文的自然选择学说揭示了生物进化的机制，解释了适应形成和物种形成的原因</w:t>
      </w:r>
    </w:p>
    <w:p w14:paraId="1F0E5711">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D.沃森和克里克共同建立了DNA双螺旋结构模型，并提出了遗传物质自我复制的假说，克里克后来又提出了中心法则、证明了遗传密码中三个碱基编码一个氨基酸</w:t>
      </w:r>
    </w:p>
    <w:p w14:paraId="6E911441">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8．非洲草原上的蕨类植物能产生有毒物质来抵制植食性动物的捕食，以蕨类为主要食物来源的非洲山地大猩猩种群也相应地产生解毒物质来缓解毒性，物种之间保持着一种动态平衡、相互牵制的生态关系。下列分析正确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p>
    <w:p w14:paraId="4B6A6734">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A.蕨类植物产生有毒物质的根本原因是自然选择的作用</w:t>
      </w:r>
    </w:p>
    <w:p w14:paraId="70A8E891">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B.蕨类植物的有毒物质诱导山地大猩猩发生解毒基因突变</w:t>
      </w:r>
    </w:p>
    <w:p w14:paraId="1FDF0F8C">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C.该过程中，非洲山地大猩猩种群基因频率发生了定向改变</w:t>
      </w:r>
    </w:p>
    <w:p w14:paraId="57A047C5">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D.具有抗毒性和不具抗毒性的非洲山地大猩猩之间存在生殖隔离</w:t>
      </w:r>
    </w:p>
    <w:p w14:paraId="4DDDE7AA">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9．下列关于人体生命活动调节的说法，正确的是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p>
    <w:p w14:paraId="2BE3CE70">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A.内环境是新陈代谢的主要场所</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B.甲状腺在甲状腺激素分泌的分级调节中属于效应器</w:t>
      </w:r>
    </w:p>
    <w:p w14:paraId="200BDC9E">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C.兴奋在传递过程中都是以电信号形式沿着反射弧双向传递</w:t>
      </w:r>
    </w:p>
    <w:p w14:paraId="0F58C159">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D.肌肉或某些腺体细胞表面存在着与神经递质或者某些激素相对应的受体</w:t>
      </w:r>
    </w:p>
    <w:p w14:paraId="3339B6B7">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10．植物生长发育的调控，是由基因表达调控、激素调节和环境因素调节共同完成的。下列相关叙述错误的是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p>
    <w:p w14:paraId="7F0673D8">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A.植物体内接收可见光中各种光信号的受体统称为光敏色素</w:t>
      </w:r>
    </w:p>
    <w:p w14:paraId="7C4F12BE">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B.光作为一种信号会影响、调控植物生长发育的全过程</w:t>
      </w:r>
    </w:p>
    <w:p w14:paraId="2D0912B2">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C.年轮、春化作用都能说明温度参与植物生长发育的调节</w:t>
      </w:r>
    </w:p>
    <w:p w14:paraId="0276B54E">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color w:val="auto"/>
        </w:rPr>
        <w:drawing>
          <wp:anchor distT="0" distB="0" distL="114300" distR="114300" simplePos="0" relativeHeight="251663360" behindDoc="0" locked="0" layoutInCell="1" allowOverlap="1">
            <wp:simplePos x="0" y="0"/>
            <wp:positionH relativeFrom="column">
              <wp:posOffset>3736340</wp:posOffset>
            </wp:positionH>
            <wp:positionV relativeFrom="paragraph">
              <wp:posOffset>182880</wp:posOffset>
            </wp:positionV>
            <wp:extent cx="1555115" cy="1403350"/>
            <wp:effectExtent l="0" t="0" r="6985" b="635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lum bright="-6000" contrast="12000"/>
                    </a:blip>
                    <a:stretch>
                      <a:fillRect/>
                    </a:stretch>
                  </pic:blipFill>
                  <pic:spPr>
                    <a:xfrm>
                      <a:off x="0" y="0"/>
                      <a:ext cx="1555115" cy="1403350"/>
                    </a:xfrm>
                    <a:prstGeom prst="rect">
                      <a:avLst/>
                    </a:prstGeom>
                    <a:noFill/>
                    <a:ln>
                      <a:noFill/>
                    </a:ln>
                  </pic:spPr>
                </pic:pic>
              </a:graphicData>
            </a:graphic>
          </wp:anchor>
        </w:drawing>
      </w:r>
      <w:r>
        <w:rPr>
          <w:rFonts w:hint="eastAsia" w:ascii="宋体" w:hAnsi="宋体" w:eastAsia="宋体" w:cs="宋体"/>
          <w:color w:val="auto"/>
          <w:sz w:val="21"/>
          <w:szCs w:val="21"/>
        </w:rPr>
        <w:t>D.植物激素的产生和分布受基因表达调控和环境因素的影响</w:t>
      </w:r>
    </w:p>
    <w:p w14:paraId="2B468DCE">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11．下图表示两种生境下捕食者蝾螈对池塘中霍氏蛙、灰树蛙、蟾蜍种群数量的影响。下列分析正确的是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p>
    <w:p w14:paraId="527EB026">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A.本实验的自变量是捕食者蝾螈的有无</w:t>
      </w:r>
    </w:p>
    <w:p w14:paraId="585397FF">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B.本实验仅证明种群数量变化受生物因素影响</w:t>
      </w:r>
    </w:p>
    <w:p w14:paraId="4AA19426">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C.自然界中捕食者的捕食作用有利于增加物种多样性</w:t>
      </w:r>
    </w:p>
    <w:p w14:paraId="40C5CE06">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D.决定该群落垂直分层现象的非生物因素主要是温度和含氧量</w:t>
      </w:r>
    </w:p>
    <w:p w14:paraId="0C3DAEF0">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p>
    <w:p w14:paraId="60137434">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12．下列关于发酵工程及其应用的叙述正确的是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p>
    <w:p w14:paraId="1C5D9E2B">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A.发酵工程选育出性状优良的菌种后，即可进行中心环节</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发酵罐内发酵</w:t>
      </w:r>
    </w:p>
    <w:p w14:paraId="4B73D85D">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B.发酵过程中环境条件既会影响微生物生长繁殖，也会影响微生物代谢物形成</w:t>
      </w:r>
    </w:p>
    <w:p w14:paraId="5858CADE">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C.一些极端微生物已应用于生产实践，例如嗜热菌有助于提高热敏性产品的产量</w:t>
      </w:r>
    </w:p>
    <w:p w14:paraId="55BD5B52">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D.生产各种各样的食品添加剂，可改善食品的口味和色泽，但不能增加食品的营养及防腐</w:t>
      </w:r>
    </w:p>
    <w:p w14:paraId="131F6D00">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13．实验材料的选择是决定实验效果乃至实验成败的前提条件，在选择时要具有符合实验要求（科学性）、取材容易（简便性）、实验现象明显（直观性）等特点。洋葱是生物实验常用材料，下列相关说法正确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p>
    <w:p w14:paraId="0DFC83A3">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A.可用洋葱的鳞片叶内表皮细胞观察细胞的质壁分离及复原</w:t>
      </w:r>
    </w:p>
    <w:p w14:paraId="628DF408">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B.可用洋葱的鳞片叶外表皮细胞观察叶绿体和线粒体，观察叶绿体时不需要染色</w:t>
      </w:r>
    </w:p>
    <w:p w14:paraId="5AE0A097">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可用洋葱的管状叶提取叶绿体中色素，研磨时要加入适量SiO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、CaCO</w:t>
      </w:r>
      <w:r>
        <w:rPr>
          <w:rFonts w:hint="eastAsia" w:ascii="宋体" w:hAnsi="宋体" w:eastAsia="宋体" w:cs="宋体"/>
          <w:color w:val="auto"/>
          <w:sz w:val="21"/>
          <w:szCs w:val="21"/>
          <w:vertAlign w:val="subscript"/>
        </w:rPr>
        <w:t>3</w:t>
      </w:r>
      <w:r>
        <w:rPr>
          <w:rFonts w:hint="eastAsia" w:ascii="宋体" w:hAnsi="宋体" w:eastAsia="宋体" w:cs="宋体"/>
          <w:color w:val="auto"/>
          <w:sz w:val="21"/>
          <w:szCs w:val="21"/>
        </w:rPr>
        <w:t>和层析液</w:t>
      </w:r>
    </w:p>
    <w:p w14:paraId="77209A9D">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D.可用洋葱根尖细胞观察减数分裂，通过观察染色体的形态、位置和数目判断细胞分裂时期</w:t>
      </w:r>
    </w:p>
    <w:p w14:paraId="4906DFE2">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14．下列有关</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DNA粗提取与鉴定</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DNA片段的扩增及电泳鉴定</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实验的叙述中，错误的是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p>
    <w:p w14:paraId="5BD6962C">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A.可将提取到的白色丝状物与二苯胺试剂充分混匀，沸水浴加热后变蓝</w:t>
      </w:r>
    </w:p>
    <w:p w14:paraId="44146BEC">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B.PCR反应体系中需加入耐高温的DNA聚合酶，该酶可在延伸过程中起作用</w:t>
      </w:r>
    </w:p>
    <w:p w14:paraId="51D52D59">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C.凝胶载样缓冲液中加入的核酸染料与DNA分子结合，便于在紫外灯下观察</w:t>
      </w:r>
    </w:p>
    <w:p w14:paraId="727DCC6E">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D.DNA的粗提取与鉴定实验中可利用DNA不溶于酒精而某些蛋白质溶于酒精来粗提DNA</w:t>
      </w:r>
    </w:p>
    <w:p w14:paraId="2BE06961">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二、多选题：本部分包括4题，每题3分，共计12分。每题有不止一个选项符合题意。每题全选对者得3分，选对但不全的得1分，错选或不答的得0分。</w:t>
      </w:r>
    </w:p>
    <w:p w14:paraId="0B38561E">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15．人类7号和9号染色体之间可以发生易位（如图1，易位的染色体用7</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、9</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表示），若易位后细胞内基因结构和种类不变，则相应个体属于染色体易位携带者，表型正常。若细胞中有三份R片段，则表现为痴呆；有一份R片段，则导致早期胚胎流产。图2表示某家族因易位而导致的流产、痴呆病的遗传系谱图，已知</w:t>
      </w:r>
      <w:r>
        <w:rPr>
          <w:rFonts w:hint="eastAsia" w:ascii="宋体" w:hAnsi="宋体" w:cs="宋体"/>
          <w:color w:val="auto"/>
          <w:sz w:val="21"/>
          <w:szCs w:val="21"/>
          <w:lang w:eastAsia="zh-CN"/>
        </w:rPr>
        <w:t>Ⅱ</w:t>
      </w:r>
      <w:r>
        <w:rPr>
          <w:rFonts w:hint="eastAsia" w:ascii="宋体" w:hAnsi="宋体" w:eastAsia="宋体" w:cs="宋体"/>
          <w:color w:val="auto"/>
          <w:sz w:val="21"/>
          <w:szCs w:val="21"/>
        </w:rPr>
        <w:t>1为染色体正常个体，</w:t>
      </w:r>
      <w:r>
        <w:rPr>
          <w:rFonts w:hint="eastAsia" w:ascii="宋体" w:hAnsi="宋体" w:cs="宋体"/>
          <w:color w:val="auto"/>
          <w:sz w:val="21"/>
          <w:szCs w:val="21"/>
          <w:lang w:eastAsia="zh-CN"/>
        </w:rPr>
        <w:t>Ⅲ</w:t>
      </w:r>
      <w:r>
        <w:rPr>
          <w:rFonts w:hint="eastAsia" w:ascii="宋体" w:hAnsi="宋体" w:eastAsia="宋体" w:cs="宋体"/>
          <w:color w:val="auto"/>
          <w:sz w:val="21"/>
          <w:szCs w:val="21"/>
        </w:rPr>
        <w:t>4为新生儿。下列相关说法正确的有</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p>
    <w:p w14:paraId="254274A9">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color w:val="auto"/>
        </w:rPr>
        <w:drawing>
          <wp:inline distT="0" distB="0" distL="114300" distR="114300">
            <wp:extent cx="3528695" cy="1516380"/>
            <wp:effectExtent l="0" t="0" r="1905" b="762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lum bright="6000"/>
                    </a:blip>
                    <a:stretch>
                      <a:fillRect/>
                    </a:stretch>
                  </pic:blipFill>
                  <pic:spPr>
                    <a:xfrm>
                      <a:off x="0" y="0"/>
                      <a:ext cx="3528695" cy="1516380"/>
                    </a:xfrm>
                    <a:prstGeom prst="rect">
                      <a:avLst/>
                    </a:prstGeom>
                    <a:noFill/>
                    <a:ln>
                      <a:noFill/>
                    </a:ln>
                  </pic:spPr>
                </pic:pic>
              </a:graphicData>
            </a:graphic>
          </wp:inline>
        </w:drawing>
      </w:r>
    </w:p>
    <w:p w14:paraId="26D1588F">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A．图2中个体</w:t>
      </w:r>
      <w:r>
        <w:rPr>
          <w:rFonts w:hint="eastAsia" w:ascii="宋体" w:hAnsi="宋体" w:cs="宋体"/>
          <w:color w:val="auto"/>
          <w:sz w:val="21"/>
          <w:szCs w:val="21"/>
          <w:lang w:eastAsia="zh-CN"/>
        </w:rPr>
        <w:t>Ⅰ</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为易位携带者，可产生4种配子</w:t>
      </w:r>
    </w:p>
    <w:p w14:paraId="2168EDDA">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B．可通过光学显微镜检测</w:t>
      </w:r>
      <w:r>
        <w:rPr>
          <w:rFonts w:hint="eastAsia" w:ascii="宋体" w:hAnsi="宋体" w:cs="宋体"/>
          <w:color w:val="auto"/>
          <w:sz w:val="21"/>
          <w:szCs w:val="21"/>
          <w:lang w:eastAsia="zh-CN"/>
        </w:rPr>
        <w:t>Ⅱ</w:t>
      </w:r>
      <w:r>
        <w:rPr>
          <w:rFonts w:hint="eastAsia" w:ascii="宋体" w:hAnsi="宋体" w:eastAsia="宋体" w:cs="宋体"/>
          <w:color w:val="auto"/>
          <w:sz w:val="21"/>
          <w:szCs w:val="21"/>
          <w:vertAlign w:val="subscript"/>
        </w:rPr>
        <w:t>3</w:t>
      </w:r>
      <w:r>
        <w:rPr>
          <w:rFonts w:hint="eastAsia" w:ascii="宋体" w:hAnsi="宋体" w:eastAsia="宋体" w:cs="宋体"/>
          <w:color w:val="auto"/>
          <w:sz w:val="21"/>
          <w:szCs w:val="21"/>
        </w:rPr>
        <w:t>的染色体组成是否异常</w:t>
      </w:r>
    </w:p>
    <w:p w14:paraId="022E84E2">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w:t>
      </w:r>
      <w:r>
        <w:rPr>
          <w:rFonts w:hint="eastAsia" w:ascii="宋体" w:hAnsi="宋体" w:cs="宋体"/>
          <w:color w:val="auto"/>
          <w:sz w:val="21"/>
          <w:szCs w:val="21"/>
          <w:lang w:eastAsia="zh-CN"/>
        </w:rPr>
        <w:t>Ⅲ</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为痴呆患者可能是由含有2个R片段的精子与正常卵细胞受精导致</w:t>
      </w:r>
    </w:p>
    <w:p w14:paraId="2A8359B0">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w:t>
      </w:r>
      <w:r>
        <w:rPr>
          <w:rFonts w:hint="eastAsia" w:ascii="宋体" w:hAnsi="宋体" w:cs="宋体"/>
          <w:color w:val="auto"/>
          <w:sz w:val="21"/>
          <w:szCs w:val="21"/>
          <w:lang w:eastAsia="zh-CN"/>
        </w:rPr>
        <w:t>Ⅲ</w:t>
      </w:r>
      <w:r>
        <w:rPr>
          <w:rFonts w:hint="eastAsia" w:ascii="宋体" w:hAnsi="宋体" w:eastAsia="宋体" w:cs="宋体"/>
          <w:color w:val="auto"/>
          <w:sz w:val="21"/>
          <w:szCs w:val="21"/>
          <w:vertAlign w:val="subscript"/>
        </w:rPr>
        <w:t>3</w:t>
      </w:r>
      <w:r>
        <w:rPr>
          <w:rFonts w:hint="eastAsia" w:ascii="宋体" w:hAnsi="宋体" w:eastAsia="宋体" w:cs="宋体"/>
          <w:color w:val="auto"/>
          <w:sz w:val="21"/>
          <w:szCs w:val="21"/>
        </w:rPr>
        <w:t>染色体组成正常的概率为1／2，</w:t>
      </w:r>
      <w:r>
        <w:rPr>
          <w:rFonts w:hint="eastAsia" w:ascii="宋体" w:hAnsi="宋体" w:cs="宋体"/>
          <w:color w:val="auto"/>
          <w:sz w:val="21"/>
          <w:szCs w:val="21"/>
          <w:lang w:eastAsia="zh-CN"/>
        </w:rPr>
        <w:t>Ⅲ</w:t>
      </w:r>
      <w:r>
        <w:rPr>
          <w:rFonts w:hint="eastAsia" w:ascii="宋体" w:hAnsi="宋体" w:eastAsia="宋体" w:cs="宋体"/>
          <w:color w:val="auto"/>
          <w:sz w:val="21"/>
          <w:szCs w:val="21"/>
          <w:vertAlign w:val="subscript"/>
        </w:rPr>
        <w:t>4</w:t>
      </w:r>
      <w:r>
        <w:rPr>
          <w:rFonts w:hint="eastAsia" w:ascii="宋体" w:hAnsi="宋体" w:eastAsia="宋体" w:cs="宋体"/>
          <w:color w:val="auto"/>
          <w:sz w:val="21"/>
          <w:szCs w:val="21"/>
        </w:rPr>
        <w:t>为易位携带者的概率为1／4</w:t>
      </w:r>
    </w:p>
    <w:p w14:paraId="7C3A8F9A">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16</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下图1是与膝跳反射有关的部分结构示意图（①～⑧表示细胞或结构），图2表示膜电位变化曲线。发生膝跳反射时，屈肌①舒张，伸肌⑥收缩。下列说法错误的有</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p>
    <w:p w14:paraId="1B4CDBE1">
      <w:pPr>
        <w:keepNext w:val="0"/>
        <w:keepLines w:val="0"/>
        <w:pageBreakBefore w:val="0"/>
        <w:shd w:val="clear" w:color="auto" w:fill="auto"/>
        <w:kinsoku/>
        <w:wordWrap/>
        <w:topLinePunct w:val="0"/>
        <w:autoSpaceDE/>
        <w:autoSpaceDN/>
        <w:bidi w:val="0"/>
        <w:spacing w:after="0" w:line="240" w:lineRule="auto"/>
        <w:jc w:val="center"/>
        <w:textAlignment w:val="center"/>
        <w:rPr>
          <w:color w:val="auto"/>
        </w:rPr>
      </w:pPr>
    </w:p>
    <w:p w14:paraId="5228E5C4">
      <w:pPr>
        <w:keepNext w:val="0"/>
        <w:keepLines w:val="0"/>
        <w:pageBreakBefore w:val="0"/>
        <w:shd w:val="clear" w:color="auto" w:fill="auto"/>
        <w:kinsoku/>
        <w:wordWrap/>
        <w:topLinePunct w:val="0"/>
        <w:autoSpaceDE/>
        <w:autoSpaceDN/>
        <w:bidi w:val="0"/>
        <w:spacing w:after="0" w:line="240" w:lineRule="auto"/>
        <w:jc w:val="center"/>
        <w:textAlignment w:val="center"/>
        <w:rPr>
          <w:color w:val="auto"/>
        </w:rPr>
      </w:pPr>
      <w:r>
        <w:rPr>
          <w:color w:val="auto"/>
        </w:rPr>
        <w:drawing>
          <wp:inline distT="0" distB="0" distL="114300" distR="114300">
            <wp:extent cx="5324475" cy="1992630"/>
            <wp:effectExtent l="0" t="0" r="9525" b="127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6">
                      <a:lum bright="-24000" contrast="48000"/>
                    </a:blip>
                    <a:srcRect l="2109" t="2718" b="1715"/>
                    <a:stretch>
                      <a:fillRect/>
                    </a:stretch>
                  </pic:blipFill>
                  <pic:spPr>
                    <a:xfrm>
                      <a:off x="0" y="0"/>
                      <a:ext cx="5324475" cy="1992630"/>
                    </a:xfrm>
                    <a:prstGeom prst="rect">
                      <a:avLst/>
                    </a:prstGeom>
                    <a:noFill/>
                    <a:ln>
                      <a:noFill/>
                    </a:ln>
                  </pic:spPr>
                </pic:pic>
              </a:graphicData>
            </a:graphic>
          </wp:inline>
        </w:drawing>
      </w:r>
    </w:p>
    <w:p w14:paraId="116BFDA6">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A.在膝跳反射的反射弧中，②⑤均为传出神经</w:t>
      </w:r>
    </w:p>
    <w:p w14:paraId="7E4435E1">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B.④为抑制性中间神经元，可被⑦释放的抑制性神经递质抑制</w:t>
      </w:r>
    </w:p>
    <w:p w14:paraId="3BF31BBA">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C.膝跳反射过程中，⑤位置的膜电位变化曲线为甲曲线，③④位置为丙曲线</w:t>
      </w:r>
    </w:p>
    <w:p w14:paraId="14875A72">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D.膝跳反射过程中，A处Na</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通道的开放可能是由细胞膜内外电位差改变引起的</w:t>
      </w:r>
    </w:p>
    <w:p w14:paraId="4AEC7176">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17</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科学家在长白山地区稻田周围种植芋头，芋头种植除具有良好的收成外，硕大的芋叶对青蛙、泥鳅有很好的遮阴和驱避害虫作用，结合频振灯诱杀、自然天敌昆虫和青蛙的害虫捕杀，很好地形成了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四周种芋头、空中频灯诱、禾间天敌吃、禾下养蛙鳅</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的共养体系。如图为该共养体系的能量流动示意图，字母代表能量值，其中a2、b3、d1、d2表示同化量。下列说法正确的有</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w:t>
      </w:r>
    </w:p>
    <w:p w14:paraId="33385645">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1312" behindDoc="1" locked="0" layoutInCell="1" allowOverlap="1">
            <wp:simplePos x="0" y="0"/>
            <wp:positionH relativeFrom="column">
              <wp:posOffset>2718435</wp:posOffset>
            </wp:positionH>
            <wp:positionV relativeFrom="paragraph">
              <wp:posOffset>50800</wp:posOffset>
            </wp:positionV>
            <wp:extent cx="2568575" cy="1089025"/>
            <wp:effectExtent l="0" t="0" r="34925" b="3175"/>
            <wp:wrapTight wrapText="bothSides">
              <wp:wrapPolygon>
                <wp:start x="0" y="0"/>
                <wp:lineTo x="0" y="21411"/>
                <wp:lineTo x="21467" y="21411"/>
                <wp:lineTo x="21467" y="0"/>
                <wp:lineTo x="0" y="0"/>
              </wp:wrapPolygon>
            </wp:wrapTight>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a:lum bright="-30000" contrast="54000"/>
                    </a:blip>
                    <a:srcRect l="-1050" t="7566" b="7672"/>
                    <a:stretch>
                      <a:fillRect/>
                    </a:stretch>
                  </pic:blipFill>
                  <pic:spPr>
                    <a:xfrm>
                      <a:off x="0" y="0"/>
                      <a:ext cx="2568575" cy="1089025"/>
                    </a:xfrm>
                    <a:prstGeom prst="rect">
                      <a:avLst/>
                    </a:prstGeom>
                    <a:noFill/>
                    <a:ln w="9525">
                      <a:noFill/>
                    </a:ln>
                  </pic:spPr>
                </pic:pic>
              </a:graphicData>
            </a:graphic>
          </wp:anchor>
        </w:drawing>
      </w:r>
      <w:r>
        <w:rPr>
          <w:rFonts w:hint="eastAsia" w:ascii="宋体" w:hAnsi="宋体" w:eastAsia="宋体" w:cs="宋体"/>
          <w:color w:val="auto"/>
          <w:sz w:val="21"/>
          <w:szCs w:val="21"/>
        </w:rPr>
        <w:t>A.该共养体系的结构包括非生物物质和能量、生产者、消费者和分解者</w:t>
      </w:r>
    </w:p>
    <w:p w14:paraId="71DC8F96">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B.第二营养级和第三营养级之间的能量传递效率为b3/ ( a2 + d1 )</w:t>
      </w:r>
      <w:r>
        <w:rPr>
          <w:rFonts w:hint="eastAsia" w:ascii="宋体" w:hAnsi="宋体" w:eastAsia="宋体" w:cs="宋体"/>
          <w:color w:val="auto"/>
          <w:sz w:val="21"/>
          <w:szCs w:val="21"/>
          <w:lang w:val="en-US" w:eastAsia="zh-CN"/>
        </w:rPr>
        <w:t>×100%</w:t>
      </w:r>
    </w:p>
    <w:p w14:paraId="45770602">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C.该共养体系内信息沿营养结构单向传递</w:t>
      </w:r>
    </w:p>
    <w:p w14:paraId="2FD7335F">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D.该共养体系突出体现了整体、协调等原理</w:t>
      </w:r>
    </w:p>
    <w:p w14:paraId="797CFEDE">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18</w:t>
      </w:r>
      <w:r>
        <w:rPr>
          <w:rFonts w:hint="eastAsia" w:ascii="宋体" w:hAnsi="宋体" w:cs="宋体"/>
          <w:color w:val="auto"/>
          <w:sz w:val="21"/>
          <w:szCs w:val="21"/>
          <w:lang w:eastAsia="zh-CN"/>
        </w:rPr>
        <w:t>.</w:t>
      </w:r>
      <w:r>
        <w:rPr>
          <w:rFonts w:hint="eastAsia" w:ascii="宋体" w:hAnsi="宋体" w:eastAsia="宋体" w:cs="宋体"/>
          <w:color w:val="auto"/>
          <w:sz w:val="21"/>
          <w:szCs w:val="21"/>
        </w:rPr>
        <w:t>人参和西洋参是五加科人参属的药用植物，它们含有的人参皂苷具有抗肿瘤等作用。科研人员选用人参和西洋参有性杂交获得的杂种胚细胞以及人参种子胚、西洋参种子胚的愈伤组织进行悬浮细胞培养，建立其单细胞株系并对三者的部分特性进行比较研究，如图1、2所示，其中Re具有治疗心肌缺血的功能，Rg3具有抗癌作用。据题分析，下列说法错误的有</w:t>
      </w:r>
    </w:p>
    <w:p w14:paraId="72561B8A">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color w:val="auto"/>
        </w:rPr>
        <w:drawing>
          <wp:inline distT="0" distB="0" distL="114300" distR="114300">
            <wp:extent cx="5024755" cy="597535"/>
            <wp:effectExtent l="0" t="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8"/>
                    <a:srcRect l="528" b="7835"/>
                    <a:stretch>
                      <a:fillRect/>
                    </a:stretch>
                  </pic:blipFill>
                  <pic:spPr>
                    <a:xfrm>
                      <a:off x="0" y="0"/>
                      <a:ext cx="5024755" cy="597535"/>
                    </a:xfrm>
                    <a:prstGeom prst="rect">
                      <a:avLst/>
                    </a:prstGeom>
                    <a:noFill/>
                    <a:ln>
                      <a:noFill/>
                    </a:ln>
                  </pic:spPr>
                </pic:pic>
              </a:graphicData>
            </a:graphic>
          </wp:inline>
        </w:drawing>
      </w:r>
      <w:r>
        <w:rPr>
          <w:color w:val="auto"/>
        </w:rPr>
        <w:drawing>
          <wp:inline distT="0" distB="0" distL="114300" distR="114300">
            <wp:extent cx="2584450" cy="1376680"/>
            <wp:effectExtent l="0" t="0" r="6350" b="762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9"/>
                    <a:stretch>
                      <a:fillRect/>
                    </a:stretch>
                  </pic:blipFill>
                  <pic:spPr>
                    <a:xfrm>
                      <a:off x="0" y="0"/>
                      <a:ext cx="2584450" cy="1376680"/>
                    </a:xfrm>
                    <a:prstGeom prst="rect">
                      <a:avLst/>
                    </a:prstGeom>
                    <a:noFill/>
                    <a:ln>
                      <a:noFill/>
                    </a:ln>
                  </pic:spPr>
                </pic:pic>
              </a:graphicData>
            </a:graphic>
          </wp:inline>
        </w:drawing>
      </w:r>
    </w:p>
    <w:p w14:paraId="73F0DAEE">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A.人参皂苷不是人参和西洋参生长和生存所必需，其药用价值体现生物多样性的直接价值</w:t>
      </w:r>
    </w:p>
    <w:p w14:paraId="68ABEB8F">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B．图1所示过程主要依据植物细胞的全能性</w:t>
      </w:r>
    </w:p>
    <w:p w14:paraId="109F78E5">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C．图1中过程②为再分化，过程④中蔗糖浓度过低、过高都不利于悬浮细胞的培养</w:t>
      </w:r>
    </w:p>
    <w:p w14:paraId="5CE568A6">
      <w:pPr>
        <w:keepNext w:val="0"/>
        <w:keepLines w:val="0"/>
        <w:pageBreakBefore w:val="0"/>
        <w:shd w:val="clear" w:color="auto" w:fill="auto"/>
        <w:kinsoku/>
        <w:wordWrap/>
        <w:topLinePunct w:val="0"/>
        <w:autoSpaceDE/>
        <w:autoSpaceDN/>
        <w:bidi w:val="0"/>
        <w:spacing w:after="0"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D.杂种胚中的大多数种类皂苷含量均高于其他两种，应作为抗癌药物的优先选择</w:t>
      </w:r>
    </w:p>
    <w:p w14:paraId="37564CA1">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三、填空题：本部分包括5题，共计60分。</w:t>
      </w:r>
    </w:p>
    <w:p w14:paraId="3EA4862C">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19．（13分）科研人员为探究Mg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对水稻光合作用的影响，开展了一系列实验。请回答：</w:t>
      </w:r>
    </w:p>
    <w:p w14:paraId="47FDE0EA">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参与光合作用过程中</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（物质）的合成，该物质直接参与的反应阶段可为暗反应</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中（物质变化）提供能量物质</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w:t>
      </w:r>
    </w:p>
    <w:p w14:paraId="1EF1BE2A">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（2）为研究Mg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对光合作用的影响，科研人员分别模拟环境中Mg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 xml:space="preserve">正常供给( + </w:t>
      </w:r>
      <w:r>
        <w:rPr>
          <w:rFonts w:hint="eastAsia" w:ascii="宋体" w:hAnsi="宋体" w:eastAsia="宋体" w:cs="宋体"/>
          <w:color w:val="auto"/>
          <w:sz w:val="21"/>
          <w:szCs w:val="21"/>
          <w:vertAlign w:val="baseline"/>
        </w:rPr>
        <w:t>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)、缺乏(-Mg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)条件，测定水稻光合作用相关指标，如图1、2所示。</w:t>
      </w:r>
    </w:p>
    <w:p w14:paraId="79529AF3">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color w:val="auto"/>
        </w:rPr>
        <w:drawing>
          <wp:inline distT="0" distB="0" distL="114300" distR="114300">
            <wp:extent cx="4119245" cy="1801495"/>
            <wp:effectExtent l="0" t="0" r="8255" b="190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0"/>
                    <a:stretch>
                      <a:fillRect/>
                    </a:stretch>
                  </pic:blipFill>
                  <pic:spPr>
                    <a:xfrm>
                      <a:off x="0" y="0"/>
                      <a:ext cx="4119245" cy="1801495"/>
                    </a:xfrm>
                    <a:prstGeom prst="rect">
                      <a:avLst/>
                    </a:prstGeom>
                    <a:noFill/>
                    <a:ln>
                      <a:noFill/>
                    </a:ln>
                  </pic:spPr>
                </pic:pic>
              </a:graphicData>
            </a:graphic>
          </wp:inline>
        </w:drawing>
      </w:r>
      <w:r>
        <w:rPr>
          <w:color w:val="auto"/>
        </w:rPr>
        <w:drawing>
          <wp:inline distT="0" distB="0" distL="114300" distR="114300">
            <wp:extent cx="1136650" cy="1395095"/>
            <wp:effectExtent l="0" t="0" r="6350" b="190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1"/>
                    <a:stretch>
                      <a:fillRect/>
                    </a:stretch>
                  </pic:blipFill>
                  <pic:spPr>
                    <a:xfrm>
                      <a:off x="0" y="0"/>
                      <a:ext cx="1136650" cy="1395095"/>
                    </a:xfrm>
                    <a:prstGeom prst="rect">
                      <a:avLst/>
                    </a:prstGeom>
                    <a:noFill/>
                    <a:ln>
                      <a:noFill/>
                    </a:ln>
                  </pic:spPr>
                </pic:pic>
              </a:graphicData>
            </a:graphic>
          </wp:inline>
        </w:drawing>
      </w:r>
    </w:p>
    <w:p w14:paraId="5A5AA606">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cs="宋体"/>
          <w:color w:val="auto"/>
          <w:sz w:val="21"/>
          <w:szCs w:val="21"/>
          <w:u w:val="single"/>
          <w:lang w:val="en-US" w:eastAsia="zh-CN"/>
        </w:rPr>
      </w:pPr>
      <w:r>
        <w:rPr>
          <w:rFonts w:hint="eastAsia" w:ascii="宋体" w:hAnsi="宋体" w:eastAsia="宋体" w:cs="宋体"/>
          <w:color w:val="auto"/>
          <w:sz w:val="21"/>
          <w:szCs w:val="21"/>
        </w:rPr>
        <w:t>①图1结果表明，叶肉细胞叶绿体中的Mg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浓度和固定CO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能力都存在</w:t>
      </w:r>
      <w:r>
        <w:rPr>
          <w:rFonts w:hint="eastAsia" w:ascii="宋体" w:hAnsi="宋体" w:eastAsia="宋体" w:cs="宋体"/>
          <w:color w:val="auto"/>
          <w:sz w:val="21"/>
          <w:szCs w:val="21"/>
          <w:lang w:eastAsia="zh-CN"/>
        </w:rPr>
        <w:t>“</w:t>
      </w:r>
      <w:r>
        <w:rPr>
          <w:rFonts w:hint="eastAsia" w:ascii="宋体" w:hAnsi="宋体" w:cs="宋体"/>
          <w:color w:val="auto"/>
          <w:sz w:val="21"/>
          <w:szCs w:val="21"/>
          <w:u w:val="single"/>
          <w:lang w:val="en-US" w:eastAsia="zh-CN"/>
        </w:rPr>
        <w:t xml:space="preserve">                       </w:t>
      </w:r>
    </w:p>
    <w:p w14:paraId="5238FDFF">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的节律性波动，且Mg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可以显著</w:t>
      </w:r>
      <w:r>
        <w:rPr>
          <w:rFonts w:hint="eastAsia" w:ascii="宋体" w:hAnsi="宋体" w:cs="宋体"/>
          <w:color w:val="auto"/>
          <w:sz w:val="21"/>
          <w:szCs w:val="21"/>
          <w:u w:val="single"/>
          <w:lang w:val="en-US" w:eastAsia="zh-CN"/>
        </w:rPr>
        <w:t xml:space="preserve">          </w:t>
      </w:r>
      <w:r>
        <w:rPr>
          <w:rFonts w:hint="eastAsia" w:ascii="宋体" w:hAnsi="宋体" w:cs="宋体"/>
          <w:color w:val="auto"/>
          <w:sz w:val="21"/>
          <w:szCs w:val="21"/>
          <w:u w:val="none"/>
          <w:lang w:val="en-US" w:eastAsia="zh-CN"/>
        </w:rPr>
        <w:t>(</w:t>
      </w:r>
      <w:r>
        <w:rPr>
          <w:rFonts w:hint="default" w:ascii="宋体" w:hAnsi="宋体" w:cs="宋体"/>
          <w:color w:val="auto"/>
          <w:sz w:val="21"/>
          <w:szCs w:val="21"/>
          <w:u w:val="none"/>
          <w:lang w:val="en-US" w:eastAsia="zh-CN"/>
        </w:rPr>
        <w:t>“</w:t>
      </w:r>
      <w:r>
        <w:rPr>
          <w:rFonts w:hint="eastAsia" w:ascii="宋体" w:hAnsi="宋体" w:cs="宋体"/>
          <w:color w:val="auto"/>
          <w:sz w:val="21"/>
          <w:szCs w:val="21"/>
          <w:u w:val="none"/>
          <w:lang w:val="en-US" w:eastAsia="zh-CN"/>
        </w:rPr>
        <w:t>增强</w:t>
      </w:r>
      <w:r>
        <w:rPr>
          <w:rFonts w:hint="default" w:ascii="宋体" w:hAnsi="宋体" w:cs="宋体"/>
          <w:color w:val="auto"/>
          <w:sz w:val="21"/>
          <w:szCs w:val="21"/>
          <w:u w:val="none"/>
          <w:lang w:val="en-US" w:eastAsia="zh-CN"/>
        </w:rPr>
        <w:t>”</w:t>
      </w:r>
      <w:r>
        <w:rPr>
          <w:rFonts w:hint="eastAsia" w:ascii="宋体" w:hAnsi="宋体" w:cs="宋体"/>
          <w:color w:val="auto"/>
          <w:sz w:val="21"/>
          <w:szCs w:val="21"/>
          <w:u w:val="none"/>
          <w:lang w:val="en-US" w:eastAsia="zh-CN"/>
        </w:rPr>
        <w:t>、</w:t>
      </w:r>
      <w:r>
        <w:rPr>
          <w:rFonts w:hint="default" w:ascii="宋体" w:hAnsi="宋体" w:cs="宋体"/>
          <w:color w:val="auto"/>
          <w:sz w:val="21"/>
          <w:szCs w:val="21"/>
          <w:u w:val="none"/>
          <w:lang w:val="en-US" w:eastAsia="zh-CN"/>
        </w:rPr>
        <w:t>“</w:t>
      </w:r>
      <w:r>
        <w:rPr>
          <w:rFonts w:hint="eastAsia" w:ascii="宋体" w:hAnsi="宋体" w:cs="宋体"/>
          <w:color w:val="auto"/>
          <w:sz w:val="21"/>
          <w:szCs w:val="21"/>
          <w:u w:val="none"/>
          <w:lang w:val="en-US" w:eastAsia="zh-CN"/>
        </w:rPr>
        <w:t>减弱</w:t>
      </w:r>
      <w:r>
        <w:rPr>
          <w:rFonts w:hint="default" w:ascii="宋体" w:hAnsi="宋体" w:cs="宋体"/>
          <w:color w:val="auto"/>
          <w:sz w:val="21"/>
          <w:szCs w:val="21"/>
          <w:u w:val="none"/>
          <w:lang w:val="en-US" w:eastAsia="zh-CN"/>
        </w:rPr>
        <w:t>”</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rPr>
        <w:t>白天固定</w:t>
      </w:r>
      <w:r>
        <w:rPr>
          <w:rFonts w:hint="eastAsia" w:ascii="宋体" w:hAnsi="宋体" w:eastAsia="宋体" w:cs="宋体"/>
          <w:color w:val="auto"/>
          <w:sz w:val="21"/>
          <w:szCs w:val="21"/>
          <w:lang w:val="en-US" w:eastAsia="zh-CN"/>
        </w:rPr>
        <w:t>CO</w:t>
      </w:r>
      <w:r>
        <w:rPr>
          <w:rFonts w:hint="eastAsia" w:ascii="宋体" w:hAnsi="宋体" w:eastAsia="宋体" w:cs="宋体"/>
          <w:color w:val="auto"/>
          <w:sz w:val="21"/>
          <w:szCs w:val="21"/>
          <w:vertAlign w:val="subscript"/>
          <w:lang w:val="en-US" w:eastAsia="zh-CN"/>
        </w:rPr>
        <w:t>2</w:t>
      </w:r>
      <w:r>
        <w:rPr>
          <w:rFonts w:hint="eastAsia" w:ascii="宋体" w:hAnsi="宋体" w:eastAsia="宋体" w:cs="宋体"/>
          <w:color w:val="auto"/>
          <w:sz w:val="21"/>
          <w:szCs w:val="21"/>
        </w:rPr>
        <w:t>的过程。</w:t>
      </w:r>
    </w:p>
    <w:p w14:paraId="2974A68A">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②进一步测定上述过程中酶R（催化C</w:t>
      </w:r>
      <w:r>
        <w:rPr>
          <w:rFonts w:hint="eastAsia" w:ascii="宋体" w:hAnsi="宋体" w:eastAsia="宋体" w:cs="宋体"/>
          <w:color w:val="auto"/>
          <w:sz w:val="21"/>
          <w:szCs w:val="21"/>
          <w:vertAlign w:val="subscript"/>
          <w:lang w:val="en-US" w:eastAsia="zh-CN"/>
        </w:rPr>
        <w:t>5</w:t>
      </w:r>
      <w:r>
        <w:rPr>
          <w:rFonts w:hint="eastAsia" w:ascii="宋体" w:hAnsi="宋体" w:eastAsia="宋体" w:cs="宋体"/>
          <w:color w:val="auto"/>
          <w:sz w:val="21"/>
          <w:szCs w:val="21"/>
        </w:rPr>
        <w:t>与CO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的反应）的变化如图2，结果表明Mg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很可能通过</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，从而促进CO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的固定。</w:t>
      </w:r>
    </w:p>
    <w:p w14:paraId="2C5C2A36">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（3）为探究叶绿体中Mg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节律性波动的原因，科研人员又对多种突变体水稻进行实验。</w:t>
      </w:r>
    </w:p>
    <w:p w14:paraId="04C3178D">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color w:val="auto"/>
        </w:rPr>
        <w:drawing>
          <wp:inline distT="0" distB="0" distL="114300" distR="114300">
            <wp:extent cx="2204720" cy="1921510"/>
            <wp:effectExtent l="0" t="0" r="5080" b="889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2"/>
                    <a:stretch>
                      <a:fillRect/>
                    </a:stretch>
                  </pic:blipFill>
                  <pic:spPr>
                    <a:xfrm>
                      <a:off x="0" y="0"/>
                      <a:ext cx="2204720" cy="1921510"/>
                    </a:xfrm>
                    <a:prstGeom prst="rect">
                      <a:avLst/>
                    </a:prstGeom>
                    <a:noFill/>
                    <a:ln>
                      <a:noFill/>
                    </a:ln>
                  </pic:spPr>
                </pic:pic>
              </a:graphicData>
            </a:graphic>
          </wp:inline>
        </w:drawing>
      </w:r>
    </w:p>
    <w:p w14:paraId="2FD9FFDB">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cs="宋体"/>
          <w:color w:val="auto"/>
          <w:sz w:val="21"/>
          <w:szCs w:val="21"/>
          <w:u w:val="single"/>
          <w:lang w:val="en-US" w:eastAsia="zh-CN"/>
        </w:rPr>
      </w:pPr>
      <w:r>
        <w:rPr>
          <w:rFonts w:hint="eastAsia" w:ascii="宋体" w:hAnsi="宋体" w:eastAsia="宋体" w:cs="宋体"/>
          <w:color w:val="auto"/>
          <w:sz w:val="21"/>
          <w:szCs w:val="21"/>
        </w:rPr>
        <w:t>①已有研究证明，叶绿体膜上的MT3蛋白可以运输Mg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。通过检测野生型、突变体MT3（MT3基因缺失）的叶绿体中Mg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含量变化，如图3，结果表明，MT3蛋白主要负责节律性运输Mg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至叶绿体内，但并不是唯一的Mg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转运蛋白，其依据是</w:t>
      </w:r>
      <w:r>
        <w:rPr>
          <w:rFonts w:hint="eastAsia" w:ascii="宋体" w:hAnsi="宋体" w:cs="宋体"/>
          <w:color w:val="auto"/>
          <w:sz w:val="21"/>
          <w:szCs w:val="21"/>
          <w:u w:val="single"/>
          <w:lang w:val="en-US" w:eastAsia="zh-CN"/>
        </w:rPr>
        <w:t xml:space="preserve">                          </w:t>
      </w:r>
    </w:p>
    <w:p w14:paraId="38DDDD63">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（2分）。</w:t>
      </w:r>
    </w:p>
    <w:p w14:paraId="201FCBDD">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②在另一株突变体OS（OS基因缺失）中，白天叶绿体中Mg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含量显著升高。据此，对MT3蛋白、OS蛋白的作用关系，科研人员提出如下假设：</w:t>
      </w:r>
    </w:p>
    <w:p w14:paraId="5C0333A8">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假设1：OS蛋白抑制MT3蛋白，并调节其节律性运输Mg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至叶绿体内。</w:t>
      </w:r>
    </w:p>
    <w:p w14:paraId="06E6B7DE">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假设2：MT3蛋白节律性运输Mg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至叶绿体内，而OS蛋白运出Mg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w:t>
      </w:r>
    </w:p>
    <w:p w14:paraId="107CD082">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通过检测野生型和多个突变体的Mg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含量，如右表。</w:t>
      </w:r>
    </w:p>
    <w:tbl>
      <w:tblPr>
        <w:tblStyle w:val="5"/>
        <w:tblpPr w:leftFromText="180" w:rightFromText="180" w:vertAnchor="text" w:horzAnchor="page" w:tblpXSpec="center" w:tblpY="27"/>
        <w:tblOverlap w:val="never"/>
        <w:tblW w:w="5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2100"/>
        <w:gridCol w:w="2841"/>
      </w:tblGrid>
      <w:tr w14:paraId="11AD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tcPr>
          <w:p w14:paraId="7A741039">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2100" w:type="dxa"/>
          </w:tcPr>
          <w:p w14:paraId="207BE670">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水稻植株</w:t>
            </w:r>
          </w:p>
        </w:tc>
        <w:tc>
          <w:tcPr>
            <w:tcW w:w="2841" w:type="dxa"/>
          </w:tcPr>
          <w:p w14:paraId="3FC8DCEA">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叶绿体中Mg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相对含量</w:t>
            </w:r>
          </w:p>
        </w:tc>
      </w:tr>
      <w:tr w14:paraId="3517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tcPr>
          <w:p w14:paraId="66A25CE6">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100" w:type="dxa"/>
          </w:tcPr>
          <w:p w14:paraId="44A17F6C">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野生型</w:t>
            </w:r>
          </w:p>
        </w:tc>
        <w:tc>
          <w:tcPr>
            <w:tcW w:w="2841" w:type="dxa"/>
          </w:tcPr>
          <w:p w14:paraId="34C849DB">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2.5</w:t>
            </w:r>
          </w:p>
        </w:tc>
      </w:tr>
      <w:tr w14:paraId="6631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tcPr>
          <w:p w14:paraId="1B8F38FD">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100" w:type="dxa"/>
          </w:tcPr>
          <w:p w14:paraId="6A2C1EF0">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突变体MT3</w:t>
            </w:r>
          </w:p>
        </w:tc>
        <w:tc>
          <w:tcPr>
            <w:tcW w:w="2841" w:type="dxa"/>
          </w:tcPr>
          <w:p w14:paraId="04B485EF">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1.5</w:t>
            </w:r>
          </w:p>
        </w:tc>
      </w:tr>
      <w:tr w14:paraId="07379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tcPr>
          <w:p w14:paraId="0336F4E5">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100" w:type="dxa"/>
          </w:tcPr>
          <w:p w14:paraId="0ECFCAB7">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突变体OS</w:t>
            </w:r>
          </w:p>
        </w:tc>
        <w:tc>
          <w:tcPr>
            <w:tcW w:w="2841" w:type="dxa"/>
          </w:tcPr>
          <w:p w14:paraId="049A2ADF">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3.5</w:t>
            </w:r>
          </w:p>
        </w:tc>
      </w:tr>
      <w:tr w14:paraId="0E00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tcPr>
          <w:p w14:paraId="3421F1B2">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100" w:type="dxa"/>
          </w:tcPr>
          <w:p w14:paraId="20C3C2BF">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双突变体OM</w:t>
            </w:r>
          </w:p>
        </w:tc>
        <w:tc>
          <w:tcPr>
            <w:tcW w:w="2841" w:type="dxa"/>
          </w:tcPr>
          <w:p w14:paraId="2BE4E2E6">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①</w:t>
            </w:r>
          </w:p>
        </w:tc>
      </w:tr>
    </w:tbl>
    <w:p w14:paraId="79DB6B5C">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p>
    <w:p w14:paraId="54051D4B">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p>
    <w:p w14:paraId="02D055BE">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p>
    <w:p w14:paraId="1F6B674C">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p>
    <w:p w14:paraId="10992BBE">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p>
    <w:p w14:paraId="2EBB89B4">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p>
    <w:p w14:paraId="074D363D">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（【注】：双突变体OM指OS基因和MT3基因均缺失，且实验中不考虑Mg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的损耗）</w:t>
      </w:r>
    </w:p>
    <w:p w14:paraId="4F4A3041">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若表中①为</w:t>
      </w:r>
      <w:r>
        <w:rPr>
          <w:rFonts w:hint="eastAsia" w:ascii="宋体" w:hAnsi="宋体" w:cs="宋体"/>
          <w:color w:val="auto"/>
          <w:sz w:val="21"/>
          <w:szCs w:val="21"/>
          <w:lang w:val="en-US" w:eastAsia="zh-CN"/>
        </w:rPr>
        <w:t>____________</w:t>
      </w:r>
      <w:r>
        <w:rPr>
          <w:rFonts w:hint="eastAsia" w:ascii="宋体" w:hAnsi="宋体" w:eastAsia="宋体" w:cs="宋体"/>
          <w:color w:val="auto"/>
          <w:sz w:val="21"/>
          <w:szCs w:val="21"/>
        </w:rPr>
        <w:t>（填字母），则说明假设一是正确的。（A</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1.5</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B.2.5</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C.3</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D.3.5)</w:t>
      </w:r>
    </w:p>
    <w:p w14:paraId="3BA22F14">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（4）已有研究表明，光合作用产生的蔗糖会影响OS蛋白的相对含量，且对光合作用进行负反馈调节。结合本实验研究，完善下列白天水稻叶绿体中Mg</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调节光合作用及其节律性变化的模型［方框中填写物质名称，（</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）中选填</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表示促进、</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表示抑制］。</w:t>
      </w:r>
    </w:p>
    <w:p w14:paraId="51D98F25">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2985135" cy="1159510"/>
            <wp:effectExtent l="0" t="0" r="12065" b="889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3">
                      <a:lum bright="-12000" contrast="36000"/>
                    </a:blip>
                    <a:stretch>
                      <a:fillRect/>
                    </a:stretch>
                  </pic:blipFill>
                  <pic:spPr>
                    <a:xfrm>
                      <a:off x="0" y="0"/>
                      <a:ext cx="2985135" cy="1159510"/>
                    </a:xfrm>
                    <a:prstGeom prst="rect">
                      <a:avLst/>
                    </a:prstGeom>
                    <a:noFill/>
                    <a:ln w="9525">
                      <a:noFill/>
                    </a:ln>
                  </pic:spPr>
                </pic:pic>
              </a:graphicData>
            </a:graphic>
          </wp:inline>
        </w:drawing>
      </w:r>
    </w:p>
    <w:p w14:paraId="6DC52CEB">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20．（13分）某实验室在野生型纯合果蝇群体中发现多只裂翅突变体（裂翅基因用A或a表示）。为了研究其遗传特点，把它们作为亲本之一进行杂交实验，实验结果如下表。</w:t>
      </w:r>
    </w:p>
    <w:tbl>
      <w:tblPr>
        <w:tblStyle w:val="5"/>
        <w:tblW w:w="8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932"/>
        <w:gridCol w:w="5178"/>
      </w:tblGrid>
      <w:tr w14:paraId="04EF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tcPr>
          <w:p w14:paraId="0550B388">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杂交实验</w:t>
            </w:r>
          </w:p>
        </w:tc>
        <w:tc>
          <w:tcPr>
            <w:tcW w:w="1932" w:type="dxa"/>
          </w:tcPr>
          <w:p w14:paraId="44D46EE7">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亲代</w:t>
            </w:r>
          </w:p>
        </w:tc>
        <w:tc>
          <w:tcPr>
            <w:tcW w:w="5178" w:type="dxa"/>
          </w:tcPr>
          <w:p w14:paraId="7BA2DA80">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子一代</w:t>
            </w:r>
          </w:p>
        </w:tc>
      </w:tr>
      <w:tr w14:paraId="5F34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tcPr>
          <w:p w14:paraId="03EA8E2C">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①</w:t>
            </w:r>
          </w:p>
        </w:tc>
        <w:tc>
          <w:tcPr>
            <w:tcW w:w="1932" w:type="dxa"/>
          </w:tcPr>
          <w:p w14:paraId="54C2400F">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裂翅</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野生型</w:t>
            </w:r>
            <w:r>
              <w:rPr>
                <w:rFonts w:hint="eastAsia" w:ascii="宋体" w:hAnsi="宋体" w:eastAsia="宋体" w:cs="宋体"/>
                <w:color w:val="auto"/>
                <w:sz w:val="21"/>
                <w:szCs w:val="21"/>
                <w:lang w:val="en-US" w:eastAsia="zh-CN"/>
              </w:rPr>
              <w:t>♂</w:t>
            </w:r>
          </w:p>
        </w:tc>
        <w:tc>
          <w:tcPr>
            <w:tcW w:w="5178" w:type="dxa"/>
          </w:tcPr>
          <w:p w14:paraId="7EACC904">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裂翅（184,</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993,</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91）：正常翅（187,</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92，</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95）</w:t>
            </w:r>
          </w:p>
        </w:tc>
      </w:tr>
      <w:tr w14:paraId="09DE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tcPr>
          <w:p w14:paraId="3AFC5CC7">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②</w:t>
            </w:r>
          </w:p>
        </w:tc>
        <w:tc>
          <w:tcPr>
            <w:tcW w:w="1932" w:type="dxa"/>
          </w:tcPr>
          <w:p w14:paraId="01DAFE0C">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野生型</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裂翅</w:t>
            </w:r>
            <w:r>
              <w:rPr>
                <w:rFonts w:hint="eastAsia" w:ascii="宋体" w:hAnsi="宋体" w:eastAsia="宋体" w:cs="宋体"/>
                <w:color w:val="auto"/>
                <w:sz w:val="21"/>
                <w:szCs w:val="21"/>
                <w:lang w:val="en-US" w:eastAsia="zh-CN"/>
              </w:rPr>
              <w:t>♂</w:t>
            </w:r>
          </w:p>
        </w:tc>
        <w:tc>
          <w:tcPr>
            <w:tcW w:w="5178" w:type="dxa"/>
          </w:tcPr>
          <w:p w14:paraId="3D0CE079">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裂翅（162，</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82,</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80）；正常翅（178,</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88，</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90）</w:t>
            </w:r>
          </w:p>
        </w:tc>
      </w:tr>
    </w:tbl>
    <w:p w14:paraId="6786447C">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（1）野生型基因突变为裂翅突变体，则裂翅突变属于</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性突变。根据表中实验结果可知，裂翅基因位于</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染色体上，判断依据是</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（2分）。</w:t>
      </w:r>
    </w:p>
    <w:p w14:paraId="38F06D00">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（2）进一步研究发现裂翅基因纯合致死，该裂翅基因所在的一对同源染色体上，还存在一个隐性纯合致死基因（b），裂翅突变体在遗传学上被称为双平衡致死系。裂翅突变体果蝇间随机交配，F1全为裂翅。</w:t>
      </w:r>
    </w:p>
    <w:p w14:paraId="6F66BE71">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973455" cy="923925"/>
            <wp:effectExtent l="0" t="0" r="4445" b="317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4">
                      <a:lum bright="6000" contrast="30000"/>
                    </a:blip>
                    <a:stretch>
                      <a:fillRect/>
                    </a:stretch>
                  </pic:blipFill>
                  <pic:spPr>
                    <a:xfrm>
                      <a:off x="0" y="0"/>
                      <a:ext cx="973455" cy="923925"/>
                    </a:xfrm>
                    <a:prstGeom prst="rect">
                      <a:avLst/>
                    </a:prstGeom>
                    <a:noFill/>
                    <a:ln w="9525">
                      <a:noFill/>
                    </a:ln>
                  </pic:spPr>
                </pic:pic>
              </a:graphicData>
            </a:graphic>
          </wp:inline>
        </w:drawing>
      </w:r>
    </w:p>
    <w:p w14:paraId="09A8AA1A">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default" w:ascii="宋体" w:hAnsi="宋体" w:cs="宋体"/>
          <w:color w:val="auto"/>
          <w:sz w:val="21"/>
          <w:szCs w:val="21"/>
          <w:u w:val="single"/>
          <w:lang w:val="en-US" w:eastAsia="zh-CN"/>
        </w:rPr>
      </w:pPr>
      <w:r>
        <w:rPr>
          <w:rFonts w:hint="eastAsia" w:ascii="宋体" w:hAnsi="宋体" w:eastAsia="宋体" w:cs="宋体"/>
          <w:color w:val="auto"/>
          <w:sz w:val="21"/>
          <w:szCs w:val="21"/>
        </w:rPr>
        <w:t>①在右图黑点旁标注该双平衡致死系果蝇的相应基因（两条竖线代表一对同源染色体，四个黑点表示四个基因位点）（2分）。</w:t>
      </w:r>
      <w:r>
        <w:rPr>
          <w:rFonts w:hint="eastAsia" w:ascii="宋体" w:hAnsi="宋体" w:cs="宋体"/>
          <w:color w:val="auto"/>
          <w:sz w:val="21"/>
          <w:szCs w:val="21"/>
          <w:u w:val="single"/>
          <w:lang w:val="en-US" w:eastAsia="zh-CN"/>
        </w:rPr>
        <w:t xml:space="preserve">               </w:t>
      </w:r>
    </w:p>
    <w:p w14:paraId="027BB6D6">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cs="宋体"/>
          <w:color w:val="auto"/>
          <w:sz w:val="21"/>
          <w:szCs w:val="21"/>
          <w:u w:val="single"/>
          <w:lang w:val="en-US" w:eastAsia="zh-CN"/>
        </w:rPr>
      </w:pPr>
      <w:r>
        <w:rPr>
          <w:rFonts w:hint="eastAsia" w:ascii="宋体" w:hAnsi="宋体" w:eastAsia="宋体" w:cs="宋体"/>
          <w:color w:val="auto"/>
          <w:sz w:val="21"/>
          <w:szCs w:val="21"/>
        </w:rPr>
        <w:t>②让裂翅红眼雌性突变体与正常翅白眼雄性野生型纯合个体杂交（眼色基因位于X染色体上，用D／d表示），F</w:t>
      </w:r>
      <w:r>
        <w:rPr>
          <w:rFonts w:hint="eastAsia" w:ascii="宋体" w:hAnsi="宋体" w:eastAsia="宋体" w:cs="宋体"/>
          <w:color w:val="auto"/>
          <w:sz w:val="21"/>
          <w:szCs w:val="21"/>
          <w:vertAlign w:val="subscript"/>
        </w:rPr>
        <w:t>1</w:t>
      </w:r>
      <w:r>
        <w:rPr>
          <w:rFonts w:hint="eastAsia" w:ascii="宋体" w:hAnsi="宋体" w:eastAsia="宋体" w:cs="宋体"/>
          <w:color w:val="auto"/>
          <w:sz w:val="21"/>
          <w:szCs w:val="21"/>
        </w:rPr>
        <w:t>雌雄果蝇中均有红眼和白眼，亲本的基因型为</w:t>
      </w:r>
      <w:r>
        <w:rPr>
          <w:rFonts w:hint="eastAsia" w:ascii="宋体" w:hAnsi="宋体" w:cs="宋体"/>
          <w:color w:val="auto"/>
          <w:sz w:val="21"/>
          <w:szCs w:val="21"/>
          <w:u w:val="single"/>
          <w:lang w:val="en-US" w:eastAsia="zh-CN"/>
        </w:rPr>
        <w:t xml:space="preserve">                  </w:t>
      </w:r>
    </w:p>
    <w:p w14:paraId="4438CBD8">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，让F</w:t>
      </w:r>
      <w:r>
        <w:rPr>
          <w:rFonts w:hint="eastAsia" w:ascii="宋体" w:hAnsi="宋体" w:eastAsia="宋体" w:cs="宋体"/>
          <w:color w:val="auto"/>
          <w:sz w:val="21"/>
          <w:szCs w:val="21"/>
          <w:vertAlign w:val="subscript"/>
        </w:rPr>
        <w:t>1</w:t>
      </w:r>
      <w:r>
        <w:rPr>
          <w:rFonts w:hint="eastAsia" w:ascii="宋体" w:hAnsi="宋体" w:eastAsia="宋体" w:cs="宋体"/>
          <w:color w:val="auto"/>
          <w:sz w:val="21"/>
          <w:szCs w:val="21"/>
        </w:rPr>
        <w:t>果蝇自由交配，F</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中正常翅白眼果蝇出现的概率为</w:t>
      </w:r>
      <w:r>
        <w:rPr>
          <w:rFonts w:hint="eastAsia" w:ascii="宋体" w:hAnsi="宋体" w:cs="宋体"/>
          <w:color w:val="auto"/>
          <w:sz w:val="21"/>
          <w:szCs w:val="21"/>
          <w:lang w:val="en-US" w:eastAsia="zh-CN"/>
        </w:rPr>
        <w:t xml:space="preserve"> </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（2分）。</w:t>
      </w:r>
    </w:p>
    <w:p w14:paraId="56DEF97D">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cs="宋体"/>
          <w:color w:val="auto"/>
          <w:sz w:val="21"/>
          <w:szCs w:val="21"/>
          <w:u w:val="single"/>
          <w:lang w:val="en-US" w:eastAsia="zh-CN"/>
        </w:rPr>
      </w:pPr>
      <w:r>
        <w:rPr>
          <w:rFonts w:hint="eastAsia" w:ascii="宋体" w:hAnsi="宋体" w:eastAsia="宋体" w:cs="宋体"/>
          <w:color w:val="auto"/>
          <w:sz w:val="21"/>
          <w:szCs w:val="21"/>
        </w:rPr>
        <w:t>③已知非紫眼和紫眼分别由2号染色体上基因E</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e控制，欲探究裂翅基因是否位于2号染色体上，研究人员利用纯合正常翅紫眼果蝇与双平衡致死系非紫眼果蝇杂交，F1有裂翅非紫眼和正常翅非紫眼两种果蝇，将F1裂翅非紫眼果蝇与亲本正常翅紫眼果蝇进行杂交，若子代的表型及比例为</w:t>
      </w:r>
      <w:r>
        <w:rPr>
          <w:rFonts w:hint="eastAsia" w:ascii="宋体" w:hAnsi="宋体" w:cs="宋体"/>
          <w:color w:val="auto"/>
          <w:sz w:val="21"/>
          <w:szCs w:val="21"/>
          <w:u w:val="single"/>
          <w:lang w:val="en-US" w:eastAsia="zh-CN"/>
        </w:rPr>
        <w:t xml:space="preserve">        ___                             </w:t>
      </w:r>
      <w:r>
        <w:rPr>
          <w:rFonts w:hint="eastAsia" w:ascii="宋体" w:hAnsi="宋体" w:eastAsia="宋体" w:cs="宋体"/>
          <w:color w:val="auto"/>
          <w:sz w:val="21"/>
          <w:szCs w:val="21"/>
        </w:rPr>
        <w:t>（2分），则裂翅基因位于2号染色体上；若子代的表型及比例为</w:t>
      </w:r>
      <w:r>
        <w:rPr>
          <w:rFonts w:hint="eastAsia" w:ascii="宋体" w:hAnsi="宋体" w:cs="宋体"/>
          <w:color w:val="auto"/>
          <w:sz w:val="21"/>
          <w:szCs w:val="21"/>
          <w:u w:val="single"/>
          <w:lang w:val="en-US" w:eastAsia="zh-CN"/>
        </w:rPr>
        <w:t xml:space="preserve">                                              </w:t>
      </w:r>
    </w:p>
    <w:p w14:paraId="65D4BB8B">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（2分），则裂翅基因不位于2号染色体上。</w:t>
      </w:r>
    </w:p>
    <w:p w14:paraId="123101DE">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21．（12分）应激可以引起机体神经、内分泌、免疫的连锁反应，一定强度的应激反应有助于提高机体应对能力，但强烈且持续的应激会使免疫细胞活性下降，使机体的免疫机能降低。</w:t>
      </w:r>
    </w:p>
    <w:p w14:paraId="0B7D64E6">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（1）机体在一定强度的情绪压力下，</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（选填</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交感</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副交感</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）神经兴奋，经</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方式调节肾上腺素的分泌，使机体处于高度警觉状态，该过程中效应器为</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；同时，下丘脑一垂体-肾上腺皮质轴（HPA轴）被活化，</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激素分泌增多，该激素还参与</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调节。</w:t>
      </w:r>
    </w:p>
    <w:p w14:paraId="62380DA7">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长期精神压力会引起炎症性肠病（患者会出现消化不良、腹痛等症状），其发展的具体机制如下左图所示，其中字母组合表示物质名称，实线箭头表示促进，虚线箭头表示部分细胞的变化；下右表为图中部分物质的来源及主要作用。请回答：</w:t>
      </w:r>
    </w:p>
    <w:tbl>
      <w:tblPr>
        <w:tblStyle w:val="5"/>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2761"/>
        <w:gridCol w:w="5258"/>
      </w:tblGrid>
      <w:tr w14:paraId="79AA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Pr>
          <w:p w14:paraId="00ECDF0F">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物质名称</w:t>
            </w:r>
          </w:p>
        </w:tc>
        <w:tc>
          <w:tcPr>
            <w:tcW w:w="2761" w:type="dxa"/>
          </w:tcPr>
          <w:p w14:paraId="1C02F2B8">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来源</w:t>
            </w:r>
          </w:p>
        </w:tc>
        <w:tc>
          <w:tcPr>
            <w:tcW w:w="5258" w:type="dxa"/>
          </w:tcPr>
          <w:p w14:paraId="24E2EB7F">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主要作用</w:t>
            </w:r>
          </w:p>
        </w:tc>
      </w:tr>
      <w:tr w14:paraId="5EEA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Pr>
          <w:p w14:paraId="26B33A01">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ACh</w:t>
            </w:r>
          </w:p>
        </w:tc>
        <w:tc>
          <w:tcPr>
            <w:tcW w:w="2761" w:type="dxa"/>
          </w:tcPr>
          <w:p w14:paraId="0EC75570">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肠补经元</w:t>
            </w:r>
          </w:p>
        </w:tc>
        <w:tc>
          <w:tcPr>
            <w:tcW w:w="5258" w:type="dxa"/>
          </w:tcPr>
          <w:p w14:paraId="201F54F6">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神经递质</w:t>
            </w:r>
          </w:p>
        </w:tc>
      </w:tr>
      <w:tr w14:paraId="7237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Pr>
          <w:p w14:paraId="0BE419D2">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TGFβ2</w:t>
            </w:r>
          </w:p>
        </w:tc>
        <w:tc>
          <w:tcPr>
            <w:tcW w:w="2761" w:type="dxa"/>
          </w:tcPr>
          <w:p w14:paraId="59724B10">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树突状细胞和调节性T细胞</w:t>
            </w:r>
          </w:p>
        </w:tc>
        <w:tc>
          <w:tcPr>
            <w:tcW w:w="5258" w:type="dxa"/>
          </w:tcPr>
          <w:p w14:paraId="5F5BBD37">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神经元等多种细胞的生长抑制因子</w:t>
            </w:r>
          </w:p>
        </w:tc>
      </w:tr>
      <w:tr w14:paraId="23C3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Pr>
          <w:p w14:paraId="27C91253">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CSF1</w:t>
            </w:r>
          </w:p>
        </w:tc>
        <w:tc>
          <w:tcPr>
            <w:tcW w:w="2761" w:type="dxa"/>
          </w:tcPr>
          <w:p w14:paraId="5DB0C4EE">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压力相关的肠神经胶质细胞</w:t>
            </w:r>
          </w:p>
        </w:tc>
        <w:tc>
          <w:tcPr>
            <w:tcW w:w="5258" w:type="dxa"/>
          </w:tcPr>
          <w:p w14:paraId="16991289">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促进单核细胞增殖</w:t>
            </w:r>
          </w:p>
        </w:tc>
      </w:tr>
      <w:tr w14:paraId="3A6EE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Pr>
          <w:p w14:paraId="51ACC80E">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TNF</w:t>
            </w:r>
          </w:p>
        </w:tc>
        <w:tc>
          <w:tcPr>
            <w:tcW w:w="2761" w:type="dxa"/>
          </w:tcPr>
          <w:p w14:paraId="38D59384">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单核细胞</w:t>
            </w:r>
          </w:p>
        </w:tc>
        <w:tc>
          <w:tcPr>
            <w:tcW w:w="5258" w:type="dxa"/>
          </w:tcPr>
          <w:p w14:paraId="7F225C69">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损伤血管内皮细胞，并引起发热。可造成肿瘤细胞死亡</w:t>
            </w:r>
          </w:p>
        </w:tc>
      </w:tr>
    </w:tbl>
    <w:p w14:paraId="37E33CBF">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color w:val="auto"/>
        </w:rPr>
        <w:drawing>
          <wp:inline distT="0" distB="0" distL="114300" distR="114300">
            <wp:extent cx="3842385" cy="2808605"/>
            <wp:effectExtent l="0" t="0" r="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5">
                      <a:lum bright="-12000" contrast="24000"/>
                    </a:blip>
                    <a:srcRect l="-315" t="2491"/>
                    <a:stretch>
                      <a:fillRect/>
                    </a:stretch>
                  </pic:blipFill>
                  <pic:spPr>
                    <a:xfrm>
                      <a:off x="0" y="0"/>
                      <a:ext cx="3842385" cy="2808605"/>
                    </a:xfrm>
                    <a:prstGeom prst="rect">
                      <a:avLst/>
                    </a:prstGeom>
                    <a:noFill/>
                    <a:ln>
                      <a:noFill/>
                    </a:ln>
                  </pic:spPr>
                </pic:pic>
              </a:graphicData>
            </a:graphic>
          </wp:inline>
        </w:drawing>
      </w:r>
    </w:p>
    <w:p w14:paraId="07E196C2">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①下列有关参与上述过程的物质或细胞的说法错误的有</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（填字母）。</w:t>
      </w:r>
    </w:p>
    <w:p w14:paraId="4F84D4AD">
      <w:pPr>
        <w:keepNext w:val="0"/>
        <w:keepLines w:val="0"/>
        <w:pageBreakBefore w:val="0"/>
        <w:shd w:val="clear" w:color="auto" w:fill="auto"/>
        <w:kinsoku/>
        <w:wordWrap/>
        <w:topLinePunct w:val="0"/>
        <w:autoSpaceDE/>
        <w:autoSpaceDN/>
        <w:bidi w:val="0"/>
        <w:spacing w:after="0" w:line="240" w:lineRule="auto"/>
        <w:ind w:firstLine="630" w:firstLineChars="3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A.糖皮质激素和CRH在细胞中的合成场所相同</w:t>
      </w:r>
    </w:p>
    <w:p w14:paraId="6A8DFD34">
      <w:pPr>
        <w:keepNext w:val="0"/>
        <w:keepLines w:val="0"/>
        <w:pageBreakBefore w:val="0"/>
        <w:shd w:val="clear" w:color="auto" w:fill="auto"/>
        <w:kinsoku/>
        <w:wordWrap/>
        <w:topLinePunct w:val="0"/>
        <w:autoSpaceDE/>
        <w:autoSpaceDN/>
        <w:bidi w:val="0"/>
        <w:spacing w:after="0" w:line="240" w:lineRule="auto"/>
        <w:ind w:firstLine="630" w:firstLineChars="3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B．CSF1、TGFβ2和TNF不都来源于免疫细胞，且不都引起炎症反应</w:t>
      </w:r>
    </w:p>
    <w:p w14:paraId="0687176A">
      <w:pPr>
        <w:keepNext w:val="0"/>
        <w:keepLines w:val="0"/>
        <w:pageBreakBefore w:val="0"/>
        <w:shd w:val="clear" w:color="auto" w:fill="auto"/>
        <w:kinsoku/>
        <w:wordWrap/>
        <w:topLinePunct w:val="0"/>
        <w:autoSpaceDE/>
        <w:autoSpaceDN/>
        <w:bidi w:val="0"/>
        <w:spacing w:after="0" w:line="240" w:lineRule="auto"/>
        <w:ind w:firstLine="630" w:firstLineChars="3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C.肠神经胶质细胞和肠神经元都有树突和轴突，都能传导兴奋</w:t>
      </w:r>
    </w:p>
    <w:p w14:paraId="2C4D9F9B">
      <w:pPr>
        <w:keepNext w:val="0"/>
        <w:keepLines w:val="0"/>
        <w:pageBreakBefore w:val="0"/>
        <w:shd w:val="clear" w:color="auto" w:fill="auto"/>
        <w:kinsoku/>
        <w:wordWrap/>
        <w:topLinePunct w:val="0"/>
        <w:autoSpaceDE/>
        <w:autoSpaceDN/>
        <w:bidi w:val="0"/>
        <w:spacing w:after="0" w:line="240" w:lineRule="auto"/>
        <w:ind w:firstLine="630" w:firstLineChars="3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D．TGFβ2会抑制肠神经元的发育，却能促进肠上皮细胞发生表型的转化，这种差异发生的根本原因在于这两种细胞的遗传物质不同，从而控制合成的不同的细胞膜表面受体</w:t>
      </w:r>
    </w:p>
    <w:p w14:paraId="69A3887C">
      <w:pPr>
        <w:keepNext w:val="0"/>
        <w:keepLines w:val="0"/>
        <w:pageBreakBefore w:val="0"/>
        <w:shd w:val="clear" w:color="auto" w:fill="auto"/>
        <w:kinsoku/>
        <w:wordWrap/>
        <w:topLinePunct w:val="0"/>
        <w:autoSpaceDE/>
        <w:autoSpaceDN/>
        <w:bidi w:val="0"/>
        <w:spacing w:after="0" w:line="240" w:lineRule="auto"/>
        <w:ind w:firstLine="630" w:firstLineChars="300"/>
        <w:jc w:val="left"/>
        <w:textAlignment w:val="center"/>
        <w:rPr>
          <w:rFonts w:hint="eastAsia" w:ascii="宋体" w:hAnsi="宋体" w:cs="宋体"/>
          <w:color w:val="auto"/>
          <w:sz w:val="21"/>
          <w:szCs w:val="21"/>
          <w:u w:val="single"/>
          <w:lang w:val="en-US" w:eastAsia="zh-CN"/>
        </w:rPr>
      </w:pPr>
      <w:r>
        <w:rPr>
          <w:rFonts w:hint="eastAsia" w:ascii="宋体" w:hAnsi="宋体" w:eastAsia="宋体" w:cs="宋体"/>
          <w:color w:val="auto"/>
          <w:sz w:val="21"/>
          <w:szCs w:val="21"/>
        </w:rPr>
        <w:t>②据图分析长期精神压力引起炎症性肠病的机制可能为</w:t>
      </w:r>
      <w:r>
        <w:rPr>
          <w:rFonts w:hint="eastAsia" w:ascii="宋体" w:hAnsi="宋体" w:cs="宋体"/>
          <w:color w:val="auto"/>
          <w:sz w:val="21"/>
          <w:szCs w:val="21"/>
          <w:u w:val="single"/>
          <w:lang w:val="en-US" w:eastAsia="zh-CN"/>
        </w:rPr>
        <w:t xml:space="preserve">                                      </w:t>
      </w:r>
    </w:p>
    <w:p w14:paraId="5917C07E">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cs="宋体"/>
          <w:color w:val="auto"/>
          <w:sz w:val="21"/>
          <w:szCs w:val="21"/>
          <w:lang w:val="en-US" w:eastAsia="zh-CN"/>
        </w:rPr>
        <w:t>_____________________________________________________________________________________</w:t>
      </w:r>
      <w:r>
        <w:rPr>
          <w:rFonts w:hint="eastAsia" w:ascii="宋体" w:hAnsi="宋体" w:eastAsia="宋体" w:cs="宋体"/>
          <w:color w:val="auto"/>
          <w:sz w:val="21"/>
          <w:szCs w:val="21"/>
        </w:rPr>
        <w:t>。（2分）</w:t>
      </w:r>
    </w:p>
    <w:p w14:paraId="6760D07C">
      <w:pPr>
        <w:keepNext w:val="0"/>
        <w:keepLines w:val="0"/>
        <w:pageBreakBefore w:val="0"/>
        <w:shd w:val="clear" w:color="auto" w:fill="auto"/>
        <w:kinsoku/>
        <w:wordWrap/>
        <w:topLinePunct w:val="0"/>
        <w:autoSpaceDE/>
        <w:autoSpaceDN/>
        <w:bidi w:val="0"/>
        <w:spacing w:after="0" w:line="240" w:lineRule="auto"/>
        <w:ind w:firstLine="630" w:firstLineChars="300"/>
        <w:jc w:val="left"/>
        <w:textAlignment w:val="center"/>
        <w:rPr>
          <w:rFonts w:hint="eastAsia" w:ascii="宋体" w:hAnsi="宋体" w:cs="宋体"/>
          <w:color w:val="auto"/>
          <w:sz w:val="21"/>
          <w:szCs w:val="21"/>
          <w:lang w:val="en-US" w:eastAsia="zh-CN"/>
        </w:rPr>
      </w:pPr>
      <w:r>
        <w:rPr>
          <w:rFonts w:hint="eastAsia" w:ascii="宋体" w:hAnsi="宋体" w:eastAsia="宋体" w:cs="宋体"/>
          <w:color w:val="auto"/>
          <w:sz w:val="21"/>
          <w:szCs w:val="21"/>
        </w:rPr>
        <w:t>③针对长期精神压力引起的炎症性肠病，尝试提出一种可行的治疗方法</w:t>
      </w:r>
      <w:r>
        <w:rPr>
          <w:rFonts w:hint="eastAsia" w:ascii="宋体" w:hAnsi="宋体" w:cs="宋体"/>
          <w:color w:val="auto"/>
          <w:sz w:val="21"/>
          <w:szCs w:val="21"/>
          <w:lang w:val="en-US" w:eastAsia="zh-CN"/>
        </w:rPr>
        <w:t>__________</w:t>
      </w:r>
    </w:p>
    <w:p w14:paraId="55262CDE">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cs="宋体"/>
          <w:color w:val="auto"/>
          <w:sz w:val="21"/>
          <w:szCs w:val="21"/>
          <w:lang w:val="en-US" w:eastAsia="zh-CN"/>
        </w:rPr>
        <w:t>______________________________________________________________________________</w:t>
      </w:r>
      <w:r>
        <w:rPr>
          <w:rFonts w:hint="eastAsia" w:ascii="宋体" w:hAnsi="宋体" w:eastAsia="宋体" w:cs="宋体"/>
          <w:color w:val="auto"/>
          <w:sz w:val="21"/>
          <w:szCs w:val="21"/>
        </w:rPr>
        <w:t>。</w:t>
      </w:r>
    </w:p>
    <w:p w14:paraId="6AEBBF87">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3）为探讨精神应激对HPA轴活性及大脑皮层和下丘脑中细胞因子的影响，科研人员进行了小鼠与其天敌（猫）的暴露实验。IL-1β（一种促炎细胞因子）和IL-6（白细胞介素-6）是一类细胞因子。实验步骤：将小鼠适应性培养后，随机分组；急性应激组受天敌攻击45min后立即检测，慢性应激组每天受攻击45min，持续14天后检测，对照组正常环境处理。将记录的数据处理分析，结果如图。</w:t>
      </w:r>
    </w:p>
    <w:p w14:paraId="7279197E">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color w:val="auto"/>
        </w:rPr>
        <w:drawing>
          <wp:inline distT="0" distB="0" distL="114300" distR="114300">
            <wp:extent cx="5321300" cy="1505585"/>
            <wp:effectExtent l="0" t="0" r="0" b="57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6">
                      <a:lum bright="-6000" contrast="12000"/>
                    </a:blip>
                    <a:stretch>
                      <a:fillRect/>
                    </a:stretch>
                  </pic:blipFill>
                  <pic:spPr>
                    <a:xfrm>
                      <a:off x="0" y="0"/>
                      <a:ext cx="5321300" cy="1505585"/>
                    </a:xfrm>
                    <a:prstGeom prst="rect">
                      <a:avLst/>
                    </a:prstGeom>
                    <a:noFill/>
                    <a:ln>
                      <a:noFill/>
                    </a:ln>
                  </pic:spPr>
                </pic:pic>
              </a:graphicData>
            </a:graphic>
          </wp:inline>
        </w:drawing>
      </w:r>
    </w:p>
    <w:p w14:paraId="1815F05A">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cs="宋体"/>
          <w:color w:val="auto"/>
          <w:sz w:val="21"/>
          <w:szCs w:val="21"/>
          <w:lang w:val="en-US" w:eastAsia="zh-CN"/>
        </w:rPr>
      </w:pPr>
      <w:r>
        <w:rPr>
          <w:rFonts w:hint="eastAsia" w:ascii="宋体" w:hAnsi="宋体" w:eastAsia="宋体" w:cs="宋体"/>
          <w:color w:val="auto"/>
          <w:sz w:val="21"/>
          <w:szCs w:val="21"/>
        </w:rPr>
        <w:t>①由图1可知，血浆糖皮质激素水平在慢性天敌应激中持续升高可能使得</w:t>
      </w:r>
      <w:r>
        <w:rPr>
          <w:rFonts w:hint="eastAsia" w:ascii="宋体" w:hAnsi="宋体" w:cs="宋体"/>
          <w:color w:val="auto"/>
          <w:sz w:val="21"/>
          <w:szCs w:val="21"/>
          <w:lang w:val="en-US" w:eastAsia="zh-CN"/>
        </w:rPr>
        <w:t>____________</w:t>
      </w:r>
    </w:p>
    <w:p w14:paraId="404289F2">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cs="宋体"/>
          <w:color w:val="auto"/>
          <w:sz w:val="21"/>
          <w:szCs w:val="21"/>
          <w:lang w:val="en-US" w:eastAsia="zh-CN"/>
        </w:rPr>
        <w:t>_____________________________________________</w:t>
      </w:r>
      <w:r>
        <w:rPr>
          <w:rFonts w:hint="eastAsia" w:ascii="宋体" w:hAnsi="宋体" w:eastAsia="宋体" w:cs="宋体"/>
          <w:color w:val="auto"/>
          <w:sz w:val="21"/>
          <w:szCs w:val="21"/>
        </w:rPr>
        <w:t>，从而导致糖皮质激素对HPA轴的抑制作用减弱，机体稳态受影响。</w:t>
      </w:r>
    </w:p>
    <w:p w14:paraId="709E40D3">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cs="宋体"/>
          <w:color w:val="auto"/>
          <w:sz w:val="21"/>
          <w:szCs w:val="21"/>
          <w:lang w:val="en-US" w:eastAsia="zh-CN"/>
        </w:rPr>
      </w:pPr>
      <w:r>
        <w:rPr>
          <w:rFonts w:hint="eastAsia" w:ascii="宋体" w:hAnsi="宋体" w:eastAsia="宋体" w:cs="宋体"/>
          <w:color w:val="auto"/>
          <w:sz w:val="21"/>
          <w:szCs w:val="21"/>
        </w:rPr>
        <w:t>②研究发现，过量的糖皮质激素可促进免疫细胞的衰老和凋亡。结合图2、3分析，在慢性天敌应激情况下，长期高水平的糖皮质激素使</w:t>
      </w:r>
      <w:r>
        <w:rPr>
          <w:rFonts w:hint="eastAsia" w:ascii="宋体" w:hAnsi="宋体" w:cs="宋体"/>
          <w:color w:val="auto"/>
          <w:sz w:val="21"/>
          <w:szCs w:val="21"/>
          <w:lang w:val="en-US" w:eastAsia="zh-CN"/>
        </w:rPr>
        <w:t>___________________________________</w:t>
      </w:r>
    </w:p>
    <w:p w14:paraId="67F81C01">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cs="宋体"/>
          <w:color w:val="auto"/>
          <w:sz w:val="21"/>
          <w:szCs w:val="21"/>
          <w:lang w:val="en-US" w:eastAsia="zh-CN"/>
        </w:rPr>
        <w:t>___________________________</w:t>
      </w:r>
      <w:r>
        <w:rPr>
          <w:rFonts w:hint="eastAsia" w:ascii="宋体" w:hAnsi="宋体" w:eastAsia="宋体" w:cs="宋体"/>
          <w:color w:val="auto"/>
          <w:sz w:val="21"/>
          <w:szCs w:val="21"/>
        </w:rPr>
        <w:t>，导致免疫系统的</w:t>
      </w:r>
      <w:r>
        <w:rPr>
          <w:rFonts w:hint="eastAsia" w:ascii="宋体" w:hAnsi="宋体" w:cs="宋体"/>
          <w:color w:val="auto"/>
          <w:sz w:val="21"/>
          <w:szCs w:val="21"/>
          <w:lang w:val="en-US" w:eastAsia="zh-CN"/>
        </w:rPr>
        <w:t>________________________</w:t>
      </w:r>
      <w:r>
        <w:rPr>
          <w:rFonts w:hint="eastAsia" w:ascii="宋体" w:hAnsi="宋体" w:eastAsia="宋体" w:cs="宋体"/>
          <w:color w:val="auto"/>
          <w:sz w:val="21"/>
          <w:szCs w:val="21"/>
        </w:rPr>
        <w:t>功能降低，从而使机体受感染和患癌风险增大。</w:t>
      </w:r>
    </w:p>
    <w:p w14:paraId="2A488F79">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22．（共10分）大罗山位于我国浙江省温州市区东南部，总面积约114k㎡，紧靠温州市中心，与城市有稳定交流，受自然环境和社会环境双重影响。大罗山森林是温州绿色都市生态网架的核心，整个都市将环大罗山发展。</w:t>
      </w:r>
    </w:p>
    <w:p w14:paraId="0237E064">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color w:val="auto"/>
        </w:rPr>
        <w:drawing>
          <wp:inline distT="0" distB="0" distL="114300" distR="114300">
            <wp:extent cx="1445895" cy="1278255"/>
            <wp:effectExtent l="0" t="0" r="1905" b="444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7">
                      <a:lum bright="6000"/>
                    </a:blip>
                    <a:stretch>
                      <a:fillRect/>
                    </a:stretch>
                  </pic:blipFill>
                  <pic:spPr>
                    <a:xfrm>
                      <a:off x="0" y="0"/>
                      <a:ext cx="1445895" cy="1278255"/>
                    </a:xfrm>
                    <a:prstGeom prst="rect">
                      <a:avLst/>
                    </a:prstGeom>
                    <a:noFill/>
                    <a:ln>
                      <a:noFill/>
                    </a:ln>
                  </pic:spPr>
                </pic:pic>
              </a:graphicData>
            </a:graphic>
          </wp:inline>
        </w:drawing>
      </w:r>
    </w:p>
    <w:p w14:paraId="7BDED770">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（1）大罗山属于典型的</w:t>
      </w:r>
      <w:r>
        <w:rPr>
          <w:rFonts w:hint="eastAsia" w:ascii="宋体" w:hAnsi="宋体" w:cs="宋体"/>
          <w:color w:val="auto"/>
          <w:sz w:val="21"/>
          <w:szCs w:val="21"/>
          <w:lang w:val="en-US" w:eastAsia="zh-CN"/>
        </w:rPr>
        <w:t>__________________________</w:t>
      </w:r>
      <w:r>
        <w:rPr>
          <w:rFonts w:hint="eastAsia" w:ascii="宋体" w:hAnsi="宋体" w:eastAsia="宋体" w:cs="宋体"/>
          <w:color w:val="auto"/>
          <w:sz w:val="21"/>
          <w:szCs w:val="21"/>
        </w:rPr>
        <w:t>（生命系统结构层次），其各组成成分的关系如图1所示，分解者为图中</w:t>
      </w:r>
      <w:r>
        <w:rPr>
          <w:rFonts w:hint="eastAsia" w:ascii="宋体" w:hAnsi="宋体" w:cs="宋体"/>
          <w:color w:val="auto"/>
          <w:sz w:val="21"/>
          <w:szCs w:val="21"/>
          <w:lang w:val="en-US" w:eastAsia="zh-CN"/>
        </w:rPr>
        <w:t>_________</w:t>
      </w:r>
      <w:r>
        <w:rPr>
          <w:rFonts w:hint="eastAsia" w:ascii="宋体" w:hAnsi="宋体" w:eastAsia="宋体" w:cs="宋体"/>
          <w:color w:val="auto"/>
          <w:sz w:val="21"/>
          <w:szCs w:val="21"/>
        </w:rPr>
        <w:t>（填图中序号），碳元素在甲、乙、丙之间以</w:t>
      </w:r>
      <w:r>
        <w:rPr>
          <w:rFonts w:hint="eastAsia" w:ascii="宋体" w:hAnsi="宋体" w:cs="宋体"/>
          <w:color w:val="auto"/>
          <w:sz w:val="21"/>
          <w:szCs w:val="21"/>
          <w:lang w:val="en-US" w:eastAsia="zh-CN"/>
        </w:rPr>
        <w:t>_____________</w:t>
      </w:r>
      <w:r>
        <w:rPr>
          <w:rFonts w:hint="eastAsia" w:ascii="宋体" w:hAnsi="宋体" w:eastAsia="宋体" w:cs="宋体"/>
          <w:color w:val="auto"/>
          <w:sz w:val="21"/>
          <w:szCs w:val="21"/>
        </w:rPr>
        <w:t>形式流动。</w:t>
      </w:r>
    </w:p>
    <w:p w14:paraId="310DA5D5">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（2）受城市发展的影响，大罗山森林大量朝人工经济植被发展，自然植被破坏严重，</w:t>
      </w:r>
      <w:r>
        <w:rPr>
          <w:rFonts w:hint="eastAsia" w:ascii="宋体" w:hAnsi="宋体" w:cs="宋体"/>
          <w:color w:val="auto"/>
          <w:sz w:val="21"/>
          <w:szCs w:val="21"/>
          <w:lang w:val="en-US" w:eastAsia="zh-CN"/>
        </w:rPr>
        <w:t>____________</w:t>
      </w:r>
      <w:r>
        <w:rPr>
          <w:rFonts w:hint="eastAsia" w:ascii="宋体" w:hAnsi="宋体" w:eastAsia="宋体" w:cs="宋体"/>
          <w:color w:val="auto"/>
          <w:sz w:val="21"/>
          <w:szCs w:val="21"/>
        </w:rPr>
        <w:t>稳定性明显降低。大罗山森林的上述变化属于</w:t>
      </w:r>
      <w:r>
        <w:rPr>
          <w:rFonts w:hint="eastAsia" w:ascii="宋体" w:hAnsi="宋体" w:cs="宋体"/>
          <w:color w:val="auto"/>
          <w:sz w:val="21"/>
          <w:szCs w:val="21"/>
          <w:lang w:val="en-US" w:eastAsia="zh-CN"/>
        </w:rPr>
        <w:t>_________</w:t>
      </w:r>
      <w:r>
        <w:rPr>
          <w:rFonts w:hint="eastAsia" w:ascii="宋体" w:hAnsi="宋体" w:eastAsia="宋体" w:cs="宋体"/>
          <w:color w:val="auto"/>
          <w:sz w:val="21"/>
          <w:szCs w:val="21"/>
        </w:rPr>
        <w:t>演替。</w:t>
      </w:r>
    </w:p>
    <w:p w14:paraId="32C31CF6">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（3）对大罗山植被进行调查统计主要采用</w:t>
      </w:r>
      <w:r>
        <w:rPr>
          <w:rFonts w:hint="eastAsia" w:ascii="宋体" w:hAnsi="宋体" w:cs="宋体"/>
          <w:color w:val="auto"/>
          <w:sz w:val="21"/>
          <w:szCs w:val="21"/>
          <w:lang w:val="en-US" w:eastAsia="zh-CN"/>
        </w:rPr>
        <w:t>__________</w:t>
      </w:r>
      <w:r>
        <w:rPr>
          <w:rFonts w:hint="eastAsia" w:ascii="宋体" w:hAnsi="宋体" w:eastAsia="宋体" w:cs="宋体"/>
          <w:color w:val="auto"/>
          <w:sz w:val="21"/>
          <w:szCs w:val="21"/>
        </w:rPr>
        <w:t>（方法）。与中亚热带和南亚热带植被进行比较，结果如图2所示，据此分析，大罗山植被与中亚热带植被的差异为</w:t>
      </w:r>
      <w:r>
        <w:rPr>
          <w:rFonts w:hint="eastAsia" w:ascii="宋体" w:hAnsi="宋体" w:cs="宋体"/>
          <w:color w:val="auto"/>
          <w:sz w:val="21"/>
          <w:szCs w:val="21"/>
          <w:lang w:val="en-US" w:eastAsia="zh-CN"/>
        </w:rPr>
        <w:t>___________________________________________________________</w:t>
      </w:r>
      <w:r>
        <w:rPr>
          <w:rFonts w:hint="eastAsia" w:ascii="宋体" w:hAnsi="宋体" w:eastAsia="宋体" w:cs="宋体"/>
          <w:color w:val="auto"/>
          <w:sz w:val="21"/>
          <w:szCs w:val="21"/>
        </w:rPr>
        <w:t>。对大罗山动物进行调查统计并比较，其中两栖类组成如图3所示，与鸟类和野生兽类结果类似。据此分析，与乌岩岭相比，大罗山动物的</w:t>
      </w:r>
      <w:r>
        <w:rPr>
          <w:rFonts w:hint="eastAsia" w:ascii="宋体" w:hAnsi="宋体" w:cs="宋体"/>
          <w:color w:val="auto"/>
          <w:sz w:val="21"/>
          <w:szCs w:val="21"/>
          <w:lang w:val="en-US" w:eastAsia="zh-CN"/>
        </w:rPr>
        <w:t>_________</w:t>
      </w:r>
      <w:r>
        <w:rPr>
          <w:rFonts w:hint="eastAsia" w:ascii="宋体" w:hAnsi="宋体" w:eastAsia="宋体" w:cs="宋体"/>
          <w:color w:val="auto"/>
          <w:sz w:val="21"/>
          <w:szCs w:val="21"/>
        </w:rPr>
        <w:t>多样性明显降低。</w:t>
      </w:r>
    </w:p>
    <w:p w14:paraId="5315B4C0">
      <w:pPr>
        <w:keepNext w:val="0"/>
        <w:keepLines w:val="0"/>
        <w:pageBreakBefore w:val="0"/>
        <w:shd w:val="clear" w:color="auto" w:fill="auto"/>
        <w:kinsoku/>
        <w:wordWrap/>
        <w:topLinePunct w:val="0"/>
        <w:autoSpaceDE/>
        <w:autoSpaceDN/>
        <w:bidi w:val="0"/>
        <w:spacing w:after="0" w:line="240" w:lineRule="auto"/>
        <w:jc w:val="center"/>
        <w:textAlignment w:val="center"/>
        <w:rPr>
          <w:color w:val="auto"/>
        </w:rPr>
      </w:pPr>
      <w:r>
        <w:rPr>
          <w:color w:val="auto"/>
        </w:rPr>
        <w:drawing>
          <wp:inline distT="0" distB="0" distL="114300" distR="114300">
            <wp:extent cx="3326130" cy="1501140"/>
            <wp:effectExtent l="0" t="0" r="1270" b="1016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8">
                      <a:lum bright="-12000" contrast="24000"/>
                    </a:blip>
                    <a:stretch>
                      <a:fillRect/>
                    </a:stretch>
                  </pic:blipFill>
                  <pic:spPr>
                    <a:xfrm>
                      <a:off x="0" y="0"/>
                      <a:ext cx="3326130" cy="1501140"/>
                    </a:xfrm>
                    <a:prstGeom prst="rect">
                      <a:avLst/>
                    </a:prstGeom>
                    <a:noFill/>
                    <a:ln>
                      <a:noFill/>
                    </a:ln>
                  </pic:spPr>
                </pic:pic>
              </a:graphicData>
            </a:graphic>
          </wp:inline>
        </w:drawing>
      </w:r>
    </w:p>
    <w:p w14:paraId="0E9AFBAF">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color w:val="auto"/>
        </w:rPr>
      </w:pPr>
      <w:r>
        <w:rPr>
          <w:color w:val="auto"/>
        </w:rPr>
        <w:drawing>
          <wp:inline distT="0" distB="0" distL="114300" distR="114300">
            <wp:extent cx="3167380" cy="1802765"/>
            <wp:effectExtent l="0" t="0" r="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9">
                      <a:lum bright="-6000" contrast="18000"/>
                    </a:blip>
                    <a:srcRect l="-181" t="2840" b="2305"/>
                    <a:stretch>
                      <a:fillRect/>
                    </a:stretch>
                  </pic:blipFill>
                  <pic:spPr>
                    <a:xfrm>
                      <a:off x="0" y="0"/>
                      <a:ext cx="3167380" cy="1802765"/>
                    </a:xfrm>
                    <a:prstGeom prst="rect">
                      <a:avLst/>
                    </a:prstGeom>
                    <a:noFill/>
                    <a:ln>
                      <a:noFill/>
                    </a:ln>
                  </pic:spPr>
                </pic:pic>
              </a:graphicData>
            </a:graphic>
          </wp:inline>
        </w:drawing>
      </w:r>
    </w:p>
    <w:p w14:paraId="6E80AA56">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（4）科研人员依据区域生态恢复与建设模式，预测了大罗山森林生态恢复与重建后生态系统核心服务功能价值，如右表（单位：元·h㎡·a</w:t>
      </w:r>
      <w:r>
        <w:rPr>
          <w:rFonts w:hint="eastAsia" w:ascii="宋体" w:hAnsi="宋体" w:eastAsia="宋体" w:cs="宋体"/>
          <w:color w:val="auto"/>
          <w:sz w:val="21"/>
          <w:szCs w:val="21"/>
          <w:vertAlign w:val="superscript"/>
        </w:rPr>
        <w:t>-1</w:t>
      </w:r>
      <w:r>
        <w:rPr>
          <w:rFonts w:hint="eastAsia" w:ascii="宋体" w:hAnsi="宋体" w:eastAsia="宋体" w:cs="宋体"/>
          <w:color w:val="auto"/>
          <w:sz w:val="21"/>
          <w:szCs w:val="21"/>
        </w:rPr>
        <w:t>）。</w:t>
      </w:r>
    </w:p>
    <w:tbl>
      <w:tblPr>
        <w:tblStyle w:val="5"/>
        <w:tblW w:w="7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1478"/>
        <w:gridCol w:w="1058"/>
        <w:gridCol w:w="1058"/>
        <w:gridCol w:w="1058"/>
        <w:gridCol w:w="1058"/>
      </w:tblGrid>
      <w:tr w14:paraId="0775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dxa"/>
            <w:vMerge w:val="restart"/>
          </w:tcPr>
          <w:p w14:paraId="6235F681">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核心服务功能</w:t>
            </w:r>
          </w:p>
        </w:tc>
        <w:tc>
          <w:tcPr>
            <w:tcW w:w="1478" w:type="dxa"/>
            <w:vMerge w:val="restart"/>
          </w:tcPr>
          <w:p w14:paraId="35D88F4F">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理论服务价值</w:t>
            </w:r>
          </w:p>
        </w:tc>
        <w:tc>
          <w:tcPr>
            <w:tcW w:w="2116" w:type="dxa"/>
            <w:gridSpan w:val="2"/>
            <w:vAlign w:val="top"/>
          </w:tcPr>
          <w:p w14:paraId="6B71414C">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生态恢复前</w:t>
            </w:r>
            <w:r>
              <w:rPr>
                <w:rFonts w:hint="eastAsia" w:ascii="宋体" w:hAnsi="宋体" w:eastAsia="宋体" w:cs="宋体"/>
                <w:color w:val="auto"/>
                <w:sz w:val="21"/>
                <w:szCs w:val="21"/>
                <w:lang w:val="en-US" w:eastAsia="zh-CN"/>
              </w:rPr>
              <w:t>*</w:t>
            </w:r>
          </w:p>
        </w:tc>
        <w:tc>
          <w:tcPr>
            <w:tcW w:w="2116" w:type="dxa"/>
            <w:gridSpan w:val="2"/>
          </w:tcPr>
          <w:p w14:paraId="60971173">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生态恢复后</w:t>
            </w:r>
            <w:r>
              <w:rPr>
                <w:rFonts w:hint="eastAsia" w:ascii="宋体" w:hAnsi="宋体" w:eastAsia="宋体" w:cs="宋体"/>
                <w:color w:val="auto"/>
                <w:sz w:val="21"/>
                <w:szCs w:val="21"/>
                <w:lang w:val="en-US" w:eastAsia="zh-CN"/>
              </w:rPr>
              <w:t>*</w:t>
            </w:r>
          </w:p>
        </w:tc>
      </w:tr>
      <w:tr w14:paraId="7FF0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dxa"/>
            <w:vMerge w:val="continue"/>
          </w:tcPr>
          <w:p w14:paraId="2A2A0B77">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p>
        </w:tc>
        <w:tc>
          <w:tcPr>
            <w:tcW w:w="1478" w:type="dxa"/>
            <w:vMerge w:val="continue"/>
          </w:tcPr>
          <w:p w14:paraId="29C60D40">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p>
        </w:tc>
        <w:tc>
          <w:tcPr>
            <w:tcW w:w="1058" w:type="dxa"/>
          </w:tcPr>
          <w:p w14:paraId="70599FFA">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服务价值</w:t>
            </w:r>
          </w:p>
        </w:tc>
        <w:tc>
          <w:tcPr>
            <w:tcW w:w="1058" w:type="dxa"/>
          </w:tcPr>
          <w:p w14:paraId="055E41D8">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实现率％</w:t>
            </w:r>
          </w:p>
        </w:tc>
        <w:tc>
          <w:tcPr>
            <w:tcW w:w="1058" w:type="dxa"/>
          </w:tcPr>
          <w:p w14:paraId="78DD7AE9">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服务价值</w:t>
            </w:r>
          </w:p>
        </w:tc>
        <w:tc>
          <w:tcPr>
            <w:tcW w:w="1058" w:type="dxa"/>
          </w:tcPr>
          <w:p w14:paraId="21121D6B">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实现率％</w:t>
            </w:r>
          </w:p>
        </w:tc>
      </w:tr>
      <w:tr w14:paraId="5F00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dxa"/>
          </w:tcPr>
          <w:p w14:paraId="639B53CA">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光合固碳</w:t>
            </w:r>
          </w:p>
        </w:tc>
        <w:tc>
          <w:tcPr>
            <w:tcW w:w="1478" w:type="dxa"/>
          </w:tcPr>
          <w:p w14:paraId="53E71314">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1594.17</w:t>
            </w:r>
          </w:p>
        </w:tc>
        <w:tc>
          <w:tcPr>
            <w:tcW w:w="1058" w:type="dxa"/>
          </w:tcPr>
          <w:p w14:paraId="44046A62">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493.94</w:t>
            </w:r>
          </w:p>
        </w:tc>
        <w:tc>
          <w:tcPr>
            <w:tcW w:w="1058" w:type="dxa"/>
          </w:tcPr>
          <w:p w14:paraId="54ABCFE5">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30.98</w:t>
            </w:r>
          </w:p>
        </w:tc>
        <w:tc>
          <w:tcPr>
            <w:tcW w:w="1058" w:type="dxa"/>
          </w:tcPr>
          <w:p w14:paraId="16605136">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1273.65</w:t>
            </w:r>
          </w:p>
        </w:tc>
        <w:tc>
          <w:tcPr>
            <w:tcW w:w="1058" w:type="dxa"/>
          </w:tcPr>
          <w:p w14:paraId="4C5CDFFA">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79.89</w:t>
            </w:r>
          </w:p>
        </w:tc>
      </w:tr>
      <w:tr w14:paraId="06E1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dxa"/>
          </w:tcPr>
          <w:p w14:paraId="5C68397F">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释放氧气</w:t>
            </w:r>
          </w:p>
        </w:tc>
        <w:tc>
          <w:tcPr>
            <w:tcW w:w="1478" w:type="dxa"/>
          </w:tcPr>
          <w:p w14:paraId="52777C45">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6631.68</w:t>
            </w:r>
          </w:p>
        </w:tc>
        <w:tc>
          <w:tcPr>
            <w:tcW w:w="1058" w:type="dxa"/>
          </w:tcPr>
          <w:p w14:paraId="0991DB1C">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2054.77</w:t>
            </w:r>
          </w:p>
        </w:tc>
        <w:tc>
          <w:tcPr>
            <w:tcW w:w="1058" w:type="dxa"/>
          </w:tcPr>
          <w:p w14:paraId="2BB5C742">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30.98</w:t>
            </w:r>
          </w:p>
        </w:tc>
        <w:tc>
          <w:tcPr>
            <w:tcW w:w="1058" w:type="dxa"/>
          </w:tcPr>
          <w:p w14:paraId="6B198091">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5298.32</w:t>
            </w:r>
          </w:p>
        </w:tc>
        <w:tc>
          <w:tcPr>
            <w:tcW w:w="1058" w:type="dxa"/>
          </w:tcPr>
          <w:p w14:paraId="4663EA39">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79.89</w:t>
            </w:r>
          </w:p>
        </w:tc>
      </w:tr>
      <w:tr w14:paraId="7C56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dxa"/>
          </w:tcPr>
          <w:p w14:paraId="78AEA920">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SO2净化</w:t>
            </w:r>
          </w:p>
        </w:tc>
        <w:tc>
          <w:tcPr>
            <w:tcW w:w="1478" w:type="dxa"/>
          </w:tcPr>
          <w:p w14:paraId="571CD7F3">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42.55</w:t>
            </w:r>
          </w:p>
        </w:tc>
        <w:tc>
          <w:tcPr>
            <w:tcW w:w="1058" w:type="dxa"/>
          </w:tcPr>
          <w:p w14:paraId="26212F9B">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18.89</w:t>
            </w:r>
          </w:p>
        </w:tc>
        <w:tc>
          <w:tcPr>
            <w:tcW w:w="1058" w:type="dxa"/>
          </w:tcPr>
          <w:p w14:paraId="10030CF9">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44.39</w:t>
            </w:r>
          </w:p>
        </w:tc>
        <w:tc>
          <w:tcPr>
            <w:tcW w:w="1058" w:type="dxa"/>
          </w:tcPr>
          <w:p w14:paraId="0C0D7EC1">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48.13</w:t>
            </w:r>
          </w:p>
        </w:tc>
        <w:tc>
          <w:tcPr>
            <w:tcW w:w="1058" w:type="dxa"/>
          </w:tcPr>
          <w:p w14:paraId="14CEEB15">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113.11</w:t>
            </w:r>
          </w:p>
        </w:tc>
      </w:tr>
      <w:tr w14:paraId="180B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dxa"/>
          </w:tcPr>
          <w:p w14:paraId="58B2E998">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滞尘</w:t>
            </w:r>
          </w:p>
        </w:tc>
        <w:tc>
          <w:tcPr>
            <w:tcW w:w="1478" w:type="dxa"/>
          </w:tcPr>
          <w:p w14:paraId="0B0803F3">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1374.96</w:t>
            </w:r>
          </w:p>
        </w:tc>
        <w:tc>
          <w:tcPr>
            <w:tcW w:w="1058" w:type="dxa"/>
          </w:tcPr>
          <w:p w14:paraId="63D13677">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1049.86</w:t>
            </w:r>
          </w:p>
        </w:tc>
        <w:tc>
          <w:tcPr>
            <w:tcW w:w="1058" w:type="dxa"/>
          </w:tcPr>
          <w:p w14:paraId="6711E398">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76.36</w:t>
            </w:r>
          </w:p>
        </w:tc>
        <w:tc>
          <w:tcPr>
            <w:tcW w:w="1058" w:type="dxa"/>
          </w:tcPr>
          <w:p w14:paraId="6FB7ABB4">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2561.01</w:t>
            </w:r>
          </w:p>
        </w:tc>
        <w:tc>
          <w:tcPr>
            <w:tcW w:w="1058" w:type="dxa"/>
          </w:tcPr>
          <w:p w14:paraId="5C733EDB">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186.26</w:t>
            </w:r>
          </w:p>
        </w:tc>
      </w:tr>
      <w:tr w14:paraId="7E225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dxa"/>
          </w:tcPr>
          <w:p w14:paraId="2F55C762">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小计</w:t>
            </w:r>
          </w:p>
        </w:tc>
        <w:tc>
          <w:tcPr>
            <w:tcW w:w="1478" w:type="dxa"/>
          </w:tcPr>
          <w:p w14:paraId="56E53AFE">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9643.36</w:t>
            </w:r>
          </w:p>
        </w:tc>
        <w:tc>
          <w:tcPr>
            <w:tcW w:w="1058" w:type="dxa"/>
          </w:tcPr>
          <w:p w14:paraId="239A5F7C">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3617.46</w:t>
            </w:r>
          </w:p>
        </w:tc>
        <w:tc>
          <w:tcPr>
            <w:tcW w:w="1058" w:type="dxa"/>
          </w:tcPr>
          <w:p w14:paraId="313652EA">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p>
        </w:tc>
        <w:tc>
          <w:tcPr>
            <w:tcW w:w="1058" w:type="dxa"/>
          </w:tcPr>
          <w:p w14:paraId="0F141AC3">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9181.11</w:t>
            </w:r>
          </w:p>
        </w:tc>
        <w:tc>
          <w:tcPr>
            <w:tcW w:w="1058" w:type="dxa"/>
          </w:tcPr>
          <w:p w14:paraId="1FE547AD">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p>
        </w:tc>
      </w:tr>
    </w:tbl>
    <w:p w14:paraId="284F0C71">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【注】：</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未扣除经果林维护费用。</w:t>
      </w:r>
    </w:p>
    <w:p w14:paraId="15E48E50">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①表中光合固碳、释放氧气、SO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净化等属于生物多样性的</w:t>
      </w:r>
      <w:r>
        <w:rPr>
          <w:rFonts w:hint="eastAsia" w:ascii="宋体" w:hAnsi="宋体" w:cs="宋体"/>
          <w:color w:val="auto"/>
          <w:sz w:val="21"/>
          <w:szCs w:val="21"/>
          <w:lang w:val="en-US" w:eastAsia="zh-CN"/>
        </w:rPr>
        <w:t>____________</w:t>
      </w:r>
      <w:r>
        <w:rPr>
          <w:rFonts w:hint="eastAsia" w:ascii="宋体" w:hAnsi="宋体" w:eastAsia="宋体" w:cs="宋体"/>
          <w:color w:val="auto"/>
          <w:sz w:val="21"/>
          <w:szCs w:val="21"/>
        </w:rPr>
        <w:t>价值。</w:t>
      </w:r>
    </w:p>
    <w:p w14:paraId="663CE147">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②根据表中数据分析，要想实现生态恢复后核心服务功能价值实现率提升，让社会一经济一自然融于一体，可采取下列</w:t>
      </w:r>
      <w:r>
        <w:rPr>
          <w:rFonts w:hint="eastAsia" w:ascii="宋体" w:hAnsi="宋体" w:cs="宋体"/>
          <w:color w:val="auto"/>
          <w:sz w:val="21"/>
          <w:szCs w:val="21"/>
          <w:lang w:val="en-US" w:eastAsia="zh-CN"/>
        </w:rPr>
        <w:t>___________</w:t>
      </w:r>
      <w:r>
        <w:rPr>
          <w:rFonts w:hint="eastAsia" w:ascii="宋体" w:hAnsi="宋体" w:eastAsia="宋体" w:cs="宋体"/>
          <w:color w:val="auto"/>
          <w:sz w:val="21"/>
          <w:szCs w:val="21"/>
        </w:rPr>
        <w:t>措施。（选填字母）</w:t>
      </w:r>
    </w:p>
    <w:p w14:paraId="519F7FA6">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A.科学规划生态功能区，包括生态景观区、生态产业区和生态人居区</w:t>
      </w:r>
    </w:p>
    <w:p w14:paraId="626C62B2">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B.根据当地潜在植被类型，选择营林树种，注意乔、灌木合理搭配</w:t>
      </w:r>
    </w:p>
    <w:p w14:paraId="566F415C">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C.选择适宜常绿阔叶树种如红楠、青冈等替代人工经济植被如杨梅等</w:t>
      </w:r>
    </w:p>
    <w:p w14:paraId="1DF9FA42">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D.在土层较瘠薄、裸露基岩较多区域，选择耐贫瘠、速生的潜在树种</w:t>
      </w:r>
    </w:p>
    <w:p w14:paraId="6CD6A5D7">
      <w:pPr>
        <w:keepNext w:val="0"/>
        <w:keepLines w:val="0"/>
        <w:pageBreakBefore w:val="0"/>
        <w:shd w:val="clear" w:color="auto" w:fill="auto"/>
        <w:kinsoku/>
        <w:wordWrap/>
        <w:topLinePunct w:val="0"/>
        <w:autoSpaceDE/>
        <w:autoSpaceDN/>
        <w:bidi w:val="0"/>
        <w:spacing w:after="0" w:line="240" w:lineRule="auto"/>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E.选择土壤、水源等适宜区域，根据自身需求规划建设苗木繁育基地</w:t>
      </w:r>
    </w:p>
    <w:p w14:paraId="671B2E98">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23．（共12分）人类y基因启动子上游的调控序列中含有BCL11A 蛋白结合位点，该位点结合BCL11A 蛋白后，y基因的表达被抑制。通过改变该结合位点的序列，解除对y基因表达的抑制，可对某种地中海贫血症进行基因治疗。科研人员扩增了γ基因上游不同长度的片段，将这些片段分别插入表达载体中进行转化和荧光检测，以确定BCL11A 蛋白结合位点的具体位置。相关信息如图所示。</w:t>
      </w:r>
    </w:p>
    <w:p w14:paraId="70CA3BA7">
      <w:pPr>
        <w:keepNext w:val="0"/>
        <w:keepLines w:val="0"/>
        <w:pageBreakBefore w:val="0"/>
        <w:shd w:val="clear" w:color="auto" w:fill="auto"/>
        <w:kinsoku/>
        <w:wordWrap/>
        <w:topLinePunct w:val="0"/>
        <w:autoSpaceDE/>
        <w:autoSpaceDN/>
        <w:bidi w:val="0"/>
        <w:spacing w:after="0" w:line="240" w:lineRule="auto"/>
        <w:jc w:val="center"/>
        <w:textAlignment w:val="center"/>
        <w:rPr>
          <w:rFonts w:hint="eastAsia" w:ascii="宋体" w:hAnsi="宋体" w:eastAsia="宋体" w:cs="宋体"/>
          <w:color w:val="auto"/>
          <w:sz w:val="21"/>
          <w:szCs w:val="21"/>
        </w:rPr>
      </w:pPr>
      <w:r>
        <w:rPr>
          <w:color w:val="auto"/>
        </w:rPr>
        <w:drawing>
          <wp:inline distT="0" distB="0" distL="114300" distR="114300">
            <wp:extent cx="5100320" cy="2333625"/>
            <wp:effectExtent l="0" t="0" r="5080" b="317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30">
                      <a:lum bright="-6000" contrast="12000"/>
                    </a:blip>
                    <a:stretch>
                      <a:fillRect/>
                    </a:stretch>
                  </pic:blipFill>
                  <pic:spPr>
                    <a:xfrm>
                      <a:off x="0" y="0"/>
                      <a:ext cx="5100320" cy="2333625"/>
                    </a:xfrm>
                    <a:prstGeom prst="rect">
                      <a:avLst/>
                    </a:prstGeom>
                    <a:noFill/>
                    <a:ln>
                      <a:noFill/>
                    </a:ln>
                  </pic:spPr>
                </pic:pic>
              </a:graphicData>
            </a:graphic>
          </wp:inline>
        </w:drawing>
      </w:r>
    </w:p>
    <w:p w14:paraId="72388A95">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（1）为将扩增后的产物定向插入载体指导荧光蛋白基因表达，需在引物末端添加限制酶识别序列。据图可知，在F1～F7末端添加的序列所对应的限制酶是</w:t>
      </w:r>
      <w:r>
        <w:rPr>
          <w:rFonts w:hint="eastAsia" w:ascii="宋体" w:hAnsi="宋体" w:cs="宋体"/>
          <w:color w:val="auto"/>
          <w:sz w:val="21"/>
          <w:szCs w:val="21"/>
          <w:lang w:val="en-US" w:eastAsia="zh-CN"/>
        </w:rPr>
        <w:t>_____________</w:t>
      </w:r>
      <w:r>
        <w:rPr>
          <w:rFonts w:hint="eastAsia" w:ascii="宋体" w:hAnsi="宋体" w:eastAsia="宋体" w:cs="宋体"/>
          <w:color w:val="auto"/>
          <w:sz w:val="21"/>
          <w:szCs w:val="21"/>
        </w:rPr>
        <w:t>，在R末端添加的序列所对应的限制酶是</w:t>
      </w:r>
      <w:r>
        <w:rPr>
          <w:rFonts w:hint="eastAsia" w:ascii="宋体" w:hAnsi="宋体" w:cs="宋体"/>
          <w:color w:val="auto"/>
          <w:sz w:val="21"/>
          <w:szCs w:val="21"/>
          <w:lang w:val="en-US" w:eastAsia="zh-CN"/>
        </w:rPr>
        <w:t>_____________</w:t>
      </w:r>
      <w:r>
        <w:rPr>
          <w:rFonts w:hint="eastAsia" w:ascii="宋体" w:hAnsi="宋体" w:eastAsia="宋体" w:cs="宋体"/>
          <w:color w:val="auto"/>
          <w:sz w:val="21"/>
          <w:szCs w:val="21"/>
        </w:rPr>
        <w:t>。PCR缓冲体系中除图示条件外还要加入</w:t>
      </w:r>
      <w:r>
        <w:rPr>
          <w:rFonts w:hint="eastAsia" w:ascii="宋体" w:hAnsi="宋体" w:cs="宋体"/>
          <w:color w:val="auto"/>
          <w:sz w:val="21"/>
          <w:szCs w:val="21"/>
          <w:lang w:val="en-US" w:eastAsia="zh-CN"/>
        </w:rPr>
        <w:t>________________________________</w:t>
      </w:r>
      <w:r>
        <w:rPr>
          <w:rFonts w:hint="eastAsia" w:ascii="宋体" w:hAnsi="宋体" w:eastAsia="宋体" w:cs="宋体"/>
          <w:color w:val="auto"/>
          <w:sz w:val="21"/>
          <w:szCs w:val="21"/>
        </w:rPr>
        <w:t>（至少</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个）。获得扩增产物后，应选择限制酶切割载体。本实验中，从产物扩增到载体构建完成的整个过程共需要</w:t>
      </w:r>
      <w:r>
        <w:rPr>
          <w:rFonts w:hint="eastAsia" w:ascii="宋体" w:hAnsi="宋体" w:cs="宋体"/>
          <w:color w:val="auto"/>
          <w:sz w:val="21"/>
          <w:szCs w:val="21"/>
          <w:lang w:val="en-US" w:eastAsia="zh-CN"/>
        </w:rPr>
        <w:t>_____</w:t>
      </w:r>
      <w:r>
        <w:rPr>
          <w:rFonts w:hint="eastAsia" w:ascii="宋体" w:hAnsi="宋体" w:eastAsia="宋体" w:cs="宋体"/>
          <w:color w:val="auto"/>
          <w:sz w:val="21"/>
          <w:szCs w:val="21"/>
        </w:rPr>
        <w:t>种酶。</w:t>
      </w:r>
    </w:p>
    <w:p w14:paraId="2020BC88">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（2）将构建的载体导入</w:t>
      </w:r>
      <w:r>
        <w:rPr>
          <w:rFonts w:hint="eastAsia" w:ascii="宋体" w:hAnsi="宋体" w:cs="宋体"/>
          <w:color w:val="auto"/>
          <w:sz w:val="21"/>
          <w:szCs w:val="21"/>
          <w:lang w:val="en-US" w:eastAsia="zh-CN"/>
        </w:rPr>
        <w:t>________</w:t>
      </w:r>
      <w:r>
        <w:rPr>
          <w:rFonts w:hint="eastAsia" w:ascii="宋体" w:hAnsi="宋体" w:eastAsia="宋体" w:cs="宋体"/>
          <w:color w:val="auto"/>
          <w:sz w:val="21"/>
          <w:szCs w:val="21"/>
        </w:rPr>
        <w:t>（选填</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保留</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除去</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）BCL11A 基因的受体细胞，成功转化后，含F1～F6与R扩增产物的载体表达荧光蛋白，受体细胞有荧光，含F7与R扩增产物的受体细胞无荧光。据图分析，构建成功的基因表达载体上荧光蛋白基因和BCLIIA基因转录时的模板链在</w:t>
      </w:r>
      <w:r>
        <w:rPr>
          <w:rFonts w:hint="eastAsia" w:ascii="宋体" w:hAnsi="宋体" w:cs="宋体"/>
          <w:color w:val="auto"/>
          <w:sz w:val="21"/>
          <w:szCs w:val="21"/>
          <w:lang w:val="en-US" w:eastAsia="zh-CN"/>
        </w:rPr>
        <w:t>________</w:t>
      </w:r>
      <w:r>
        <w:rPr>
          <w:rFonts w:hint="eastAsia" w:ascii="宋体" w:hAnsi="宋体" w:eastAsia="宋体" w:cs="宋体"/>
          <w:color w:val="auto"/>
          <w:sz w:val="21"/>
          <w:szCs w:val="21"/>
        </w:rPr>
        <w:t>（选填</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相同</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不同</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）的DNA链上，含F7与R扩增产物的受体细胞无荧光的原因是</w:t>
      </w:r>
      <w:r>
        <w:rPr>
          <w:rFonts w:hint="eastAsia" w:ascii="宋体" w:hAnsi="宋体" w:cs="宋体"/>
          <w:color w:val="auto"/>
          <w:sz w:val="21"/>
          <w:szCs w:val="21"/>
          <w:lang w:val="en-US" w:eastAsia="zh-CN"/>
        </w:rPr>
        <w:t>______________________________________</w:t>
      </w:r>
      <w:r>
        <w:rPr>
          <w:rFonts w:hint="eastAsia" w:ascii="宋体" w:hAnsi="宋体" w:eastAsia="宋体" w:cs="宋体"/>
          <w:color w:val="auto"/>
          <w:sz w:val="21"/>
          <w:szCs w:val="21"/>
        </w:rPr>
        <w:t>。</w:t>
      </w:r>
    </w:p>
    <w:p w14:paraId="626C7495">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cs="宋体"/>
          <w:color w:val="auto"/>
          <w:sz w:val="21"/>
          <w:szCs w:val="21"/>
          <w:lang w:val="en-US" w:eastAsia="zh-CN"/>
        </w:rPr>
      </w:pPr>
      <w:r>
        <w:rPr>
          <w:rFonts w:hint="eastAsia" w:ascii="宋体" w:hAnsi="宋体" w:eastAsia="宋体" w:cs="宋体"/>
          <w:color w:val="auto"/>
          <w:sz w:val="21"/>
          <w:szCs w:val="21"/>
        </w:rPr>
        <w:t>（3）向培养液中添加适量的</w:t>
      </w:r>
      <w:r>
        <w:rPr>
          <w:rFonts w:hint="eastAsia" w:ascii="宋体" w:hAnsi="宋体" w:cs="宋体"/>
          <w:color w:val="auto"/>
          <w:sz w:val="21"/>
          <w:szCs w:val="21"/>
          <w:lang w:val="en-US" w:eastAsia="zh-CN"/>
        </w:rPr>
        <w:t>________________</w:t>
      </w:r>
      <w:r>
        <w:rPr>
          <w:rFonts w:hint="eastAsia" w:ascii="宋体" w:hAnsi="宋体" w:eastAsia="宋体" w:cs="宋体"/>
          <w:color w:val="auto"/>
          <w:sz w:val="21"/>
          <w:szCs w:val="21"/>
        </w:rPr>
        <w:t>，含F1～F4与R扩增产物的受体细胞不再有荧光，而含F</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～F6与R扩增产物的受体细胞仍有荧光。若γ基因上游调控序列上与引物序列所对应的位置不含有BCL11A 蛋白的结合位点序列，据此结果可推测，BCL11A 蛋白结合位点位于引物</w:t>
      </w:r>
      <w:r>
        <w:rPr>
          <w:rFonts w:hint="eastAsia" w:ascii="宋体" w:hAnsi="宋体" w:cs="宋体"/>
          <w:color w:val="auto"/>
          <w:sz w:val="21"/>
          <w:szCs w:val="21"/>
          <w:lang w:val="en-US" w:eastAsia="zh-CN"/>
        </w:rPr>
        <w:t>____________</w:t>
      </w:r>
      <w:r>
        <w:rPr>
          <w:rFonts w:hint="eastAsia" w:ascii="宋体" w:hAnsi="宋体" w:eastAsia="宋体" w:cs="宋体"/>
          <w:color w:val="auto"/>
          <w:sz w:val="21"/>
          <w:szCs w:val="21"/>
        </w:rPr>
        <w:t>在调控序列上所对应序列之间的区段上，理由是</w:t>
      </w:r>
      <w:r>
        <w:rPr>
          <w:rFonts w:hint="eastAsia" w:ascii="宋体" w:hAnsi="宋体" w:cs="宋体"/>
          <w:color w:val="auto"/>
          <w:sz w:val="21"/>
          <w:szCs w:val="21"/>
          <w:lang w:val="en-US" w:eastAsia="zh-CN"/>
        </w:rPr>
        <w:t>________________</w:t>
      </w:r>
    </w:p>
    <w:p w14:paraId="56874905">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r>
        <w:rPr>
          <w:rFonts w:hint="eastAsia" w:ascii="宋体" w:hAnsi="宋体" w:cs="宋体"/>
          <w:color w:val="auto"/>
          <w:sz w:val="21"/>
          <w:szCs w:val="21"/>
          <w:lang w:val="en-US" w:eastAsia="zh-CN"/>
        </w:rPr>
        <w:t>____________________________________________________________________________________________________________________________________________</w:t>
      </w:r>
      <w:r>
        <w:rPr>
          <w:rFonts w:hint="eastAsia" w:ascii="宋体" w:hAnsi="宋体" w:eastAsia="宋体" w:cs="宋体"/>
          <w:color w:val="auto"/>
          <w:sz w:val="21"/>
          <w:szCs w:val="21"/>
        </w:rPr>
        <w:t>（2分）。</w:t>
      </w:r>
    </w:p>
    <w:p w14:paraId="12600FBA">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p>
    <w:p w14:paraId="1BC80846">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p>
    <w:p w14:paraId="52D5BBC0">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p>
    <w:p w14:paraId="673CFB3D">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p>
    <w:p w14:paraId="28E131C5">
      <w:pPr>
        <w:keepNext w:val="0"/>
        <w:keepLines w:val="0"/>
        <w:pageBreakBefore w:val="0"/>
        <w:shd w:val="clear" w:color="auto" w:fill="auto"/>
        <w:kinsoku/>
        <w:wordWrap/>
        <w:topLinePunct w:val="0"/>
        <w:autoSpaceDE/>
        <w:autoSpaceDN/>
        <w:bidi w:val="0"/>
        <w:spacing w:after="0" w:line="240" w:lineRule="auto"/>
        <w:jc w:val="left"/>
        <w:textAlignment w:val="center"/>
        <w:rPr>
          <w:rFonts w:hint="eastAsia" w:ascii="宋体" w:hAnsi="宋体" w:eastAsia="宋体" w:cs="宋体"/>
          <w:color w:val="auto"/>
          <w:sz w:val="21"/>
          <w:szCs w:val="21"/>
        </w:rPr>
      </w:pPr>
    </w:p>
    <w:p w14:paraId="7F1BE8D6">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Times New Roman" w:cs="Times New Roman"/>
          <w:b/>
          <w:color w:val="auto"/>
          <w:sz w:val="32"/>
        </w:rPr>
      </w:pPr>
      <w:r>
        <w:rPr>
          <w:rFonts w:hint="eastAsia" w:cs="Times New Roman"/>
          <w:b/>
          <w:color w:val="auto"/>
          <w:sz w:val="32"/>
          <w:lang w:eastAsia="zh-CN"/>
        </w:rPr>
        <w:t>苏通练习精品卷</w:t>
      </w:r>
      <w:r>
        <w:rPr>
          <w:rFonts w:hint="eastAsia" w:ascii="Times New Roman" w:hAnsi="Times New Roman" w:eastAsia="Times New Roman" w:cs="Times New Roman"/>
          <w:b/>
          <w:color w:val="auto"/>
          <w:sz w:val="32"/>
        </w:rPr>
        <w:t>2</w:t>
      </w:r>
      <w:bookmarkStart w:id="0" w:name="_GoBack"/>
      <w:bookmarkEnd w:id="0"/>
      <w:r>
        <w:rPr>
          <w:rFonts w:hint="eastAsia" w:ascii="Times New Roman" w:hAnsi="Times New Roman" w:eastAsia="Times New Roman" w:cs="Times New Roman"/>
          <w:b/>
          <w:color w:val="auto"/>
          <w:sz w:val="32"/>
        </w:rPr>
        <w:t>024届高三生物周练（</w:t>
      </w:r>
      <w:r>
        <w:rPr>
          <w:rFonts w:hint="eastAsia" w:cs="Times New Roman"/>
          <w:b/>
          <w:color w:val="auto"/>
          <w:sz w:val="32"/>
          <w:lang w:val="en-US" w:eastAsia="zh-CN"/>
        </w:rPr>
        <w:t>二</w:t>
      </w:r>
      <w:r>
        <w:rPr>
          <w:rFonts w:hint="eastAsia" w:ascii="Times New Roman" w:hAnsi="Times New Roman" w:eastAsia="Times New Roman" w:cs="Times New Roman"/>
          <w:b/>
          <w:color w:val="auto"/>
          <w:sz w:val="32"/>
        </w:rPr>
        <w:t>十</w:t>
      </w:r>
      <w:r>
        <w:rPr>
          <w:rFonts w:hint="eastAsia" w:cs="Times New Roman"/>
          <w:b/>
          <w:color w:val="auto"/>
          <w:sz w:val="32"/>
          <w:lang w:val="en-US" w:eastAsia="zh-CN"/>
        </w:rPr>
        <w:t>六</w:t>
      </w:r>
      <w:r>
        <w:rPr>
          <w:rFonts w:hint="eastAsia" w:ascii="Times New Roman" w:hAnsi="Times New Roman" w:eastAsia="Times New Roman" w:cs="Times New Roman"/>
          <w:b/>
          <w:color w:val="auto"/>
          <w:sz w:val="32"/>
        </w:rPr>
        <w:t>）</w:t>
      </w:r>
    </w:p>
    <w:p w14:paraId="39AD39B1">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jc w:val="center"/>
        <w:textAlignment w:val="auto"/>
        <w:outlineLvl w:val="9"/>
        <w:rPr>
          <w:rFonts w:ascii="Times New Roman" w:hAnsi="Times New Roman"/>
          <w:b/>
          <w:bCs/>
          <w:color w:val="auto"/>
          <w:sz w:val="32"/>
          <w:szCs w:val="32"/>
        </w:rPr>
      </w:pPr>
      <w:r>
        <w:rPr>
          <w:rFonts w:hint="eastAsia"/>
          <w:b/>
          <w:bCs/>
          <w:color w:val="auto"/>
          <w:sz w:val="21"/>
          <w:szCs w:val="21"/>
          <w:lang w:eastAsia="zh-CN"/>
        </w:rPr>
        <w:t>（</w:t>
      </w:r>
      <w:r>
        <w:rPr>
          <w:rFonts w:hint="eastAsia" w:ascii="Times New Roman" w:hAnsi="Times New Roman"/>
          <w:b/>
          <w:bCs/>
          <w:color w:val="auto"/>
          <w:sz w:val="21"/>
          <w:szCs w:val="21"/>
        </w:rPr>
        <w:t>海安高级中学2023—2024学年高三下学期第二次模拟考试</w:t>
      </w:r>
      <w:r>
        <w:rPr>
          <w:rFonts w:hint="eastAsia"/>
          <w:b/>
          <w:bCs/>
          <w:color w:val="auto"/>
          <w:sz w:val="21"/>
          <w:szCs w:val="21"/>
          <w:lang w:val="en-US" w:eastAsia="zh-CN"/>
        </w:rPr>
        <w:t>）</w:t>
      </w:r>
      <w:r>
        <w:rPr>
          <w:rFonts w:ascii="Times New Roman" w:hAnsi="Times New Roman"/>
          <w:b/>
          <w:bCs/>
          <w:color w:val="auto"/>
          <w:sz w:val="32"/>
          <w:szCs w:val="32"/>
        </w:rPr>
        <w:t>答案</w:t>
      </w:r>
    </w:p>
    <w:p w14:paraId="644CDC9D">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textAlignment w:val="auto"/>
        <w:outlineLvl w:val="9"/>
        <w:rPr>
          <w:rFonts w:ascii="Times New Roman" w:hAnsi="Times New Roman"/>
          <w:color w:val="auto"/>
        </w:rPr>
      </w:pPr>
      <w:r>
        <w:rPr>
          <w:rFonts w:ascii="Times New Roman" w:hAnsi="Times New Roman"/>
          <w:color w:val="auto"/>
        </w:rPr>
        <w:t>1-5 DACBD</w:t>
      </w:r>
      <w:r>
        <w:rPr>
          <w:rFonts w:hint="eastAsia" w:ascii="Times New Roman" w:hAnsi="Times New Roman"/>
          <w:color w:val="auto"/>
          <w:lang w:val="en-US" w:eastAsia="zh-CN"/>
        </w:rPr>
        <w:tab/>
      </w:r>
      <w:r>
        <w:rPr>
          <w:rFonts w:ascii="Times New Roman" w:hAnsi="Times New Roman"/>
          <w:color w:val="auto"/>
        </w:rPr>
        <w:t>6-10BBCD A</w:t>
      </w:r>
      <w:r>
        <w:rPr>
          <w:rFonts w:hint="eastAsia" w:ascii="Times New Roman" w:hAnsi="Times New Roman"/>
          <w:color w:val="auto"/>
          <w:lang w:val="en-US" w:eastAsia="zh-CN"/>
        </w:rPr>
        <w:tab/>
      </w:r>
      <w:r>
        <w:rPr>
          <w:rFonts w:ascii="Times New Roman" w:hAnsi="Times New Roman"/>
          <w:color w:val="auto"/>
        </w:rPr>
        <w:t>11-14CBAC</w:t>
      </w:r>
    </w:p>
    <w:p w14:paraId="29530479">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textAlignment w:val="auto"/>
        <w:outlineLvl w:val="9"/>
        <w:rPr>
          <w:rFonts w:ascii="Times New Roman" w:hAnsi="Times New Roman"/>
          <w:color w:val="auto"/>
        </w:rPr>
      </w:pPr>
      <w:r>
        <w:rPr>
          <w:rFonts w:ascii="Times New Roman" w:hAnsi="Times New Roman"/>
          <w:color w:val="auto"/>
        </w:rPr>
        <w:t>15ABC</w:t>
      </w:r>
      <w:r>
        <w:rPr>
          <w:rFonts w:hint="eastAsia" w:ascii="Times New Roman" w:hAnsi="Times New Roman"/>
          <w:color w:val="auto"/>
          <w:lang w:val="en-US" w:eastAsia="zh-CN"/>
        </w:rPr>
        <w:tab/>
      </w:r>
      <w:r>
        <w:rPr>
          <w:rFonts w:ascii="Times New Roman" w:hAnsi="Times New Roman"/>
          <w:color w:val="auto"/>
        </w:rPr>
        <w:t>16BC</w:t>
      </w:r>
      <w:r>
        <w:rPr>
          <w:rFonts w:hint="eastAsia" w:ascii="Times New Roman" w:hAnsi="Times New Roman"/>
          <w:color w:val="auto"/>
          <w:lang w:val="en-US" w:eastAsia="zh-CN"/>
        </w:rPr>
        <w:tab/>
      </w:r>
      <w:r>
        <w:rPr>
          <w:rFonts w:ascii="Times New Roman" w:hAnsi="Times New Roman"/>
          <w:color w:val="auto"/>
        </w:rPr>
        <w:t>17BD</w:t>
      </w:r>
      <w:r>
        <w:rPr>
          <w:rFonts w:hint="eastAsia" w:ascii="Times New Roman" w:hAnsi="Times New Roman"/>
          <w:color w:val="auto"/>
          <w:lang w:val="en-US" w:eastAsia="zh-CN"/>
        </w:rPr>
        <w:tab/>
      </w:r>
      <w:r>
        <w:rPr>
          <w:rFonts w:ascii="Times New Roman" w:hAnsi="Times New Roman"/>
          <w:color w:val="auto"/>
        </w:rPr>
        <w:t>18BCD</w:t>
      </w:r>
    </w:p>
    <w:p w14:paraId="477B8A29">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textAlignment w:val="auto"/>
        <w:outlineLvl w:val="9"/>
        <w:rPr>
          <w:rFonts w:ascii="Times New Roman" w:hAnsi="Times New Roman"/>
          <w:b/>
          <w:bCs/>
          <w:color w:val="auto"/>
          <w:sz w:val="24"/>
          <w:szCs w:val="24"/>
        </w:rPr>
      </w:pPr>
      <w:r>
        <w:rPr>
          <w:rFonts w:ascii="Times New Roman" w:hAnsi="Times New Roman"/>
          <w:b/>
          <w:bCs/>
          <w:color w:val="auto"/>
          <w:sz w:val="24"/>
          <w:szCs w:val="24"/>
        </w:rPr>
        <w:t>三、填空题：本部分包括5题，共计60分。</w:t>
      </w:r>
    </w:p>
    <w:p w14:paraId="54E23B8E">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textAlignment w:val="auto"/>
        <w:outlineLvl w:val="9"/>
        <w:rPr>
          <w:rFonts w:ascii="Times New Roman" w:hAnsi="Times New Roman"/>
          <w:color w:val="auto"/>
        </w:rPr>
      </w:pPr>
      <w:r>
        <w:rPr>
          <w:rFonts w:ascii="Times New Roman" w:hAnsi="Times New Roman"/>
          <w:color w:val="auto"/>
        </w:rPr>
        <w:t>19</w:t>
      </w:r>
      <w:r>
        <w:rPr>
          <w:rFonts w:hint="eastAsia"/>
          <w:color w:val="auto"/>
          <w:lang w:val="en-US" w:eastAsia="zh-CN"/>
        </w:rPr>
        <w:t>.</w:t>
      </w:r>
      <w:r>
        <w:rPr>
          <w:rFonts w:ascii="Times New Roman" w:hAnsi="Times New Roman"/>
          <w:color w:val="auto"/>
        </w:rPr>
        <w:t>（13分）（1）叶绿素</w:t>
      </w:r>
      <w:r>
        <w:rPr>
          <w:rFonts w:hint="eastAsia" w:ascii="Times New Roman" w:hAnsi="Times New Roman"/>
          <w:color w:val="auto"/>
          <w:lang w:val="en-US" w:eastAsia="zh-CN"/>
        </w:rPr>
        <w:tab/>
      </w:r>
      <w:r>
        <w:rPr>
          <w:rFonts w:ascii="Times New Roman" w:hAnsi="Times New Roman"/>
          <w:color w:val="auto"/>
        </w:rPr>
        <w:t>C</w:t>
      </w:r>
      <w:r>
        <w:rPr>
          <w:rFonts w:hint="eastAsia" w:ascii="Times New Roman" w:hAnsi="Times New Roman"/>
          <w:color w:val="auto"/>
          <w:vertAlign w:val="subscript"/>
          <w:lang w:val="en-US" w:eastAsia="zh-CN"/>
        </w:rPr>
        <w:t>3</w:t>
      </w:r>
      <w:r>
        <w:rPr>
          <w:rFonts w:ascii="Times New Roman" w:hAnsi="Times New Roman"/>
          <w:color w:val="auto"/>
        </w:rPr>
        <w:t>还原</w:t>
      </w:r>
      <w:r>
        <w:rPr>
          <w:rFonts w:hint="eastAsia"/>
          <w:color w:val="auto"/>
          <w:lang w:val="en-US" w:eastAsia="zh-CN"/>
        </w:rPr>
        <w:t xml:space="preserve">   </w:t>
      </w:r>
      <w:r>
        <w:rPr>
          <w:rFonts w:ascii="Times New Roman" w:hAnsi="Times New Roman"/>
          <w:color w:val="auto"/>
        </w:rPr>
        <w:t>ATP和NADPH</w:t>
      </w:r>
      <w:r>
        <w:rPr>
          <w:rFonts w:hint="eastAsia"/>
          <w:color w:val="auto"/>
          <w:lang w:val="en-US" w:eastAsia="zh-CN"/>
        </w:rPr>
        <w:t xml:space="preserve">  </w:t>
      </w:r>
      <w:r>
        <w:rPr>
          <w:rFonts w:ascii="Times New Roman" w:hAnsi="Times New Roman"/>
          <w:color w:val="auto"/>
        </w:rPr>
        <w:t>（2）①光照下（升）高、黑暗下（降）低</w:t>
      </w:r>
      <w:r>
        <w:rPr>
          <w:rFonts w:hint="eastAsia" w:ascii="Times New Roman" w:hAnsi="Times New Roman"/>
          <w:color w:val="auto"/>
          <w:lang w:val="en-US" w:eastAsia="zh-CN"/>
        </w:rPr>
        <w:tab/>
      </w:r>
      <w:r>
        <w:rPr>
          <w:rFonts w:hint="eastAsia"/>
          <w:color w:val="auto"/>
          <w:lang w:val="en-US" w:eastAsia="zh-CN"/>
        </w:rPr>
        <w:t xml:space="preserve">  </w:t>
      </w:r>
      <w:r>
        <w:rPr>
          <w:rFonts w:ascii="Times New Roman" w:hAnsi="Times New Roman"/>
          <w:color w:val="auto"/>
        </w:rPr>
        <w:t>增强</w:t>
      </w:r>
      <w:r>
        <w:rPr>
          <w:rFonts w:hint="eastAsia"/>
          <w:color w:val="auto"/>
          <w:lang w:val="en-US" w:eastAsia="zh-CN"/>
        </w:rPr>
        <w:t xml:space="preserve">   </w:t>
      </w:r>
      <w:r>
        <w:rPr>
          <w:rFonts w:ascii="Times New Roman" w:hAnsi="Times New Roman"/>
          <w:color w:val="auto"/>
        </w:rPr>
        <w:t>②提高酶R的活性</w:t>
      </w:r>
      <w:r>
        <w:rPr>
          <w:rFonts w:hint="eastAsia"/>
          <w:color w:val="auto"/>
          <w:lang w:val="en-US" w:eastAsia="zh-CN"/>
        </w:rPr>
        <w:t xml:space="preserve">  </w:t>
      </w:r>
      <w:r>
        <w:rPr>
          <w:rFonts w:ascii="Times New Roman" w:hAnsi="Times New Roman"/>
          <w:color w:val="auto"/>
        </w:rPr>
        <w:t>（3）①与野生型相比，突变体（MT3）叶绿体中</w:t>
      </w:r>
      <w:r>
        <w:rPr>
          <w:rFonts w:hint="eastAsia"/>
          <w:color w:val="auto"/>
          <w:lang w:val="en-US" w:eastAsia="zh-CN"/>
        </w:rPr>
        <w:t>Mg</w:t>
      </w:r>
      <w:r>
        <w:rPr>
          <w:rFonts w:ascii="Times New Roman" w:hAnsi="Times New Roman"/>
          <w:color w:val="auto"/>
          <w:vertAlign w:val="superscript"/>
        </w:rPr>
        <w:t>2＋</w:t>
      </w:r>
      <w:r>
        <w:rPr>
          <w:rFonts w:ascii="Times New Roman" w:hAnsi="Times New Roman"/>
          <w:color w:val="auto"/>
        </w:rPr>
        <w:t>相对含量明显低于野生型（1分），且维持在一定值（1分）。</w:t>
      </w:r>
      <w:r>
        <w:rPr>
          <w:rFonts w:hint="eastAsia"/>
          <w:color w:val="auto"/>
          <w:lang w:val="en-US" w:eastAsia="zh-CN"/>
        </w:rPr>
        <w:t xml:space="preserve">  </w:t>
      </w:r>
      <w:r>
        <w:rPr>
          <w:rFonts w:ascii="Times New Roman" w:hAnsi="Times New Roman"/>
          <w:color w:val="auto"/>
        </w:rPr>
        <w:t>②A(+)</w:t>
      </w:r>
    </w:p>
    <w:p w14:paraId="422F6AB8">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textAlignment w:val="auto"/>
        <w:outlineLvl w:val="9"/>
        <w:rPr>
          <w:rFonts w:ascii="Times New Roman" w:hAnsi="Times New Roman"/>
          <w:color w:val="auto"/>
        </w:rPr>
      </w:pPr>
      <w:r>
        <w:rPr>
          <w:rFonts w:ascii="Times New Roman" w:hAnsi="Times New Roman"/>
          <w:color w:val="auto"/>
        </w:rPr>
        <w:t>（4）如图（1空1分）</w:t>
      </w:r>
    </w:p>
    <w:p w14:paraId="5D20BA39">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jc w:val="center"/>
        <w:textAlignment w:val="auto"/>
        <w:outlineLvl w:val="9"/>
        <w:rPr>
          <w:rFonts w:ascii="Times New Roman" w:hAnsi="Times New Roman"/>
          <w:color w:val="auto"/>
        </w:rPr>
      </w:pPr>
      <w:r>
        <w:rPr>
          <w:color w:val="auto"/>
        </w:rPr>
        <w:drawing>
          <wp:inline distT="0" distB="0" distL="114300" distR="114300">
            <wp:extent cx="2874645" cy="1162050"/>
            <wp:effectExtent l="0" t="0" r="8255" b="635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1">
                      <a:lum bright="-18000" contrast="42000"/>
                    </a:blip>
                    <a:stretch>
                      <a:fillRect/>
                    </a:stretch>
                  </pic:blipFill>
                  <pic:spPr>
                    <a:xfrm>
                      <a:off x="0" y="0"/>
                      <a:ext cx="2874645" cy="1162050"/>
                    </a:xfrm>
                    <a:prstGeom prst="rect">
                      <a:avLst/>
                    </a:prstGeom>
                    <a:noFill/>
                    <a:ln w="9525">
                      <a:noFill/>
                    </a:ln>
                  </pic:spPr>
                </pic:pic>
              </a:graphicData>
            </a:graphic>
          </wp:inline>
        </w:drawing>
      </w:r>
    </w:p>
    <w:p w14:paraId="19451486">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textAlignment w:val="auto"/>
        <w:outlineLvl w:val="9"/>
        <w:rPr>
          <w:rFonts w:ascii="Times New Roman" w:hAnsi="Times New Roman"/>
          <w:color w:val="auto"/>
        </w:rPr>
      </w:pPr>
      <w:r>
        <w:rPr>
          <w:color w:val="auto"/>
        </w:rPr>
        <w:drawing>
          <wp:anchor distT="0" distB="0" distL="114300" distR="114300" simplePos="0" relativeHeight="251662336" behindDoc="1" locked="0" layoutInCell="1" allowOverlap="1">
            <wp:simplePos x="0" y="0"/>
            <wp:positionH relativeFrom="column">
              <wp:posOffset>4418330</wp:posOffset>
            </wp:positionH>
            <wp:positionV relativeFrom="paragraph">
              <wp:posOffset>239395</wp:posOffset>
            </wp:positionV>
            <wp:extent cx="835025" cy="709295"/>
            <wp:effectExtent l="0" t="0" r="3175" b="1905"/>
            <wp:wrapTight wrapText="bothSides">
              <wp:wrapPolygon>
                <wp:start x="0" y="0"/>
                <wp:lineTo x="0" y="21271"/>
                <wp:lineTo x="21354" y="21271"/>
                <wp:lineTo x="21354" y="0"/>
                <wp:lineTo x="0" y="0"/>
              </wp:wrapPolygon>
            </wp:wrapTight>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2">
                      <a:lum bright="-12000" contrast="24000"/>
                    </a:blip>
                    <a:stretch>
                      <a:fillRect/>
                    </a:stretch>
                  </pic:blipFill>
                  <pic:spPr>
                    <a:xfrm>
                      <a:off x="0" y="0"/>
                      <a:ext cx="835025" cy="709295"/>
                    </a:xfrm>
                    <a:prstGeom prst="rect">
                      <a:avLst/>
                    </a:prstGeom>
                    <a:noFill/>
                    <a:ln w="9525">
                      <a:noFill/>
                    </a:ln>
                  </pic:spPr>
                </pic:pic>
              </a:graphicData>
            </a:graphic>
          </wp:anchor>
        </w:drawing>
      </w:r>
      <w:r>
        <w:rPr>
          <w:rFonts w:ascii="Times New Roman" w:hAnsi="Times New Roman"/>
          <w:color w:val="auto"/>
        </w:rPr>
        <w:t>20</w:t>
      </w:r>
      <w:r>
        <w:rPr>
          <w:rFonts w:hint="eastAsia"/>
          <w:color w:val="auto"/>
          <w:lang w:val="en-US" w:eastAsia="zh-CN"/>
        </w:rPr>
        <w:t>.</w:t>
      </w:r>
      <w:r>
        <w:rPr>
          <w:rFonts w:ascii="Times New Roman" w:hAnsi="Times New Roman"/>
          <w:color w:val="auto"/>
        </w:rPr>
        <w:t>（13分）（1）显常表中实验①②为正反交实验（1分），子一代表型及比例相同，且与性别无关（1分）</w:t>
      </w:r>
      <w:r>
        <w:rPr>
          <w:rFonts w:hint="eastAsia"/>
          <w:color w:val="auto"/>
          <w:lang w:val="en-US" w:eastAsia="zh-CN"/>
        </w:rPr>
        <w:t xml:space="preserve">  </w:t>
      </w:r>
      <w:r>
        <w:rPr>
          <w:rFonts w:ascii="Times New Roman" w:hAnsi="Times New Roman"/>
          <w:color w:val="auto"/>
        </w:rPr>
        <w:t>（2）①（如右图，每对1分）</w:t>
      </w:r>
    </w:p>
    <w:p w14:paraId="0C3DEA9B">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textAlignment w:val="auto"/>
        <w:outlineLvl w:val="9"/>
        <w:rPr>
          <w:rFonts w:ascii="Times New Roman" w:hAnsi="Times New Roman"/>
          <w:color w:val="auto"/>
        </w:rPr>
      </w:pPr>
      <w:r>
        <w:rPr>
          <w:rFonts w:hint="eastAsia"/>
          <w:color w:val="auto"/>
          <w:lang w:val="en-US" w:eastAsia="zh-CN"/>
        </w:rPr>
        <w:t xml:space="preserve">  </w:t>
      </w:r>
      <w:r>
        <w:rPr>
          <w:rFonts w:ascii="Times New Roman" w:hAnsi="Times New Roman"/>
          <w:color w:val="auto"/>
        </w:rPr>
        <w:t>②AaBbX</w:t>
      </w:r>
      <w:r>
        <w:rPr>
          <w:rFonts w:ascii="Times New Roman" w:hAnsi="Times New Roman"/>
          <w:color w:val="auto"/>
          <w:vertAlign w:val="superscript"/>
        </w:rPr>
        <w:t>D</w:t>
      </w:r>
      <w:r>
        <w:rPr>
          <w:rFonts w:ascii="Times New Roman" w:hAnsi="Times New Roman"/>
          <w:color w:val="auto"/>
        </w:rPr>
        <w:t>X</w:t>
      </w:r>
      <w:r>
        <w:rPr>
          <w:rFonts w:ascii="Times New Roman" w:hAnsi="Times New Roman"/>
          <w:color w:val="auto"/>
          <w:vertAlign w:val="superscript"/>
        </w:rPr>
        <w:t>d</w:t>
      </w:r>
      <w:r>
        <w:rPr>
          <w:rFonts w:ascii="Times New Roman" w:hAnsi="Times New Roman"/>
          <w:color w:val="auto"/>
        </w:rPr>
        <w:t>、aaBBX</w:t>
      </w:r>
      <w:r>
        <w:rPr>
          <w:rFonts w:ascii="Times New Roman" w:hAnsi="Times New Roman"/>
          <w:color w:val="auto"/>
          <w:vertAlign w:val="superscript"/>
        </w:rPr>
        <w:t>d</w:t>
      </w:r>
      <w:r>
        <w:rPr>
          <w:rFonts w:ascii="Times New Roman" w:hAnsi="Times New Roman"/>
          <w:color w:val="auto"/>
        </w:rPr>
        <w:t>Y</w:t>
      </w:r>
      <w:r>
        <w:rPr>
          <w:rFonts w:hint="eastAsia" w:ascii="Times New Roman" w:hAnsi="Times New Roman"/>
          <w:color w:val="auto"/>
          <w:lang w:val="en-US" w:eastAsia="zh-CN"/>
        </w:rPr>
        <w:tab/>
      </w:r>
      <w:r>
        <w:rPr>
          <w:rFonts w:hint="eastAsia"/>
          <w:color w:val="auto"/>
          <w:lang w:val="en-US" w:eastAsia="zh-CN"/>
        </w:rPr>
        <w:t xml:space="preserve">   </w:t>
      </w:r>
      <w:r>
        <w:rPr>
          <w:rFonts w:ascii="Times New Roman" w:hAnsi="Times New Roman"/>
          <w:color w:val="auto"/>
        </w:rPr>
        <w:t>9／28（2分）</w:t>
      </w:r>
    </w:p>
    <w:p w14:paraId="4E80191D">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210" w:firstLineChars="100"/>
        <w:textAlignment w:val="auto"/>
        <w:outlineLvl w:val="9"/>
        <w:rPr>
          <w:rFonts w:ascii="Times New Roman" w:hAnsi="Times New Roman"/>
          <w:color w:val="auto"/>
        </w:rPr>
      </w:pPr>
      <w:r>
        <w:rPr>
          <w:rFonts w:ascii="Times New Roman" w:hAnsi="Times New Roman"/>
          <w:color w:val="auto"/>
        </w:rPr>
        <w:t>③裂翅非紫眼：正常翅紫眼＝1：1（2分）</w:t>
      </w:r>
    </w:p>
    <w:p w14:paraId="76FFE8DE">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textAlignment w:val="auto"/>
        <w:outlineLvl w:val="9"/>
        <w:rPr>
          <w:rFonts w:ascii="Times New Roman" w:hAnsi="Times New Roman"/>
          <w:color w:val="auto"/>
        </w:rPr>
      </w:pPr>
      <w:r>
        <w:rPr>
          <w:rFonts w:ascii="Times New Roman" w:hAnsi="Times New Roman"/>
          <w:color w:val="auto"/>
        </w:rPr>
        <w:t>裂翅非紫眼：裂翅紫眼：正常翅非紫眼：正常翅紫眼＝1：1：1：1（2分）</w:t>
      </w:r>
    </w:p>
    <w:p w14:paraId="413810E7">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textAlignment w:val="auto"/>
        <w:outlineLvl w:val="9"/>
        <w:rPr>
          <w:rFonts w:ascii="Times New Roman" w:hAnsi="Times New Roman"/>
          <w:color w:val="auto"/>
        </w:rPr>
      </w:pPr>
    </w:p>
    <w:p w14:paraId="0359A47E">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textAlignment w:val="auto"/>
        <w:outlineLvl w:val="9"/>
        <w:rPr>
          <w:rFonts w:ascii="Times New Roman" w:hAnsi="Times New Roman"/>
          <w:color w:val="auto"/>
        </w:rPr>
      </w:pPr>
      <w:r>
        <w:rPr>
          <w:rFonts w:ascii="Times New Roman" w:hAnsi="Times New Roman"/>
          <w:color w:val="auto"/>
        </w:rPr>
        <w:t>21</w:t>
      </w:r>
      <w:r>
        <w:rPr>
          <w:rFonts w:hint="eastAsia"/>
          <w:color w:val="auto"/>
          <w:lang w:val="en-US" w:eastAsia="zh-CN"/>
        </w:rPr>
        <w:t>.</w:t>
      </w:r>
      <w:r>
        <w:rPr>
          <w:rFonts w:ascii="Times New Roman" w:hAnsi="Times New Roman"/>
          <w:color w:val="auto"/>
        </w:rPr>
        <w:t>（12分）（1）交感</w:t>
      </w:r>
      <w:r>
        <w:rPr>
          <w:rFonts w:hint="eastAsia" w:ascii="Times New Roman" w:hAnsi="Times New Roman"/>
          <w:color w:val="auto"/>
          <w:lang w:val="en-US" w:eastAsia="zh-CN"/>
        </w:rPr>
        <w:t xml:space="preserve"> </w:t>
      </w:r>
      <w:r>
        <w:rPr>
          <w:rFonts w:hint="eastAsia"/>
          <w:color w:val="auto"/>
          <w:lang w:val="en-US" w:eastAsia="zh-CN"/>
        </w:rPr>
        <w:t xml:space="preserve"> </w:t>
      </w:r>
      <w:r>
        <w:rPr>
          <w:rFonts w:hint="eastAsia" w:ascii="Times New Roman" w:hAnsi="Times New Roman"/>
          <w:color w:val="auto"/>
          <w:lang w:val="en-US" w:eastAsia="zh-CN"/>
        </w:rPr>
        <w:t xml:space="preserve"> </w:t>
      </w:r>
      <w:r>
        <w:rPr>
          <w:rFonts w:ascii="Times New Roman" w:hAnsi="Times New Roman"/>
          <w:color w:val="auto"/>
        </w:rPr>
        <w:t>神经调节</w:t>
      </w:r>
      <w:r>
        <w:rPr>
          <w:rFonts w:hint="eastAsia"/>
          <w:color w:val="auto"/>
          <w:lang w:val="en-US" w:eastAsia="zh-CN"/>
        </w:rPr>
        <w:t xml:space="preserve">  </w:t>
      </w:r>
      <w:r>
        <w:rPr>
          <w:rFonts w:ascii="Times New Roman" w:hAnsi="Times New Roman"/>
          <w:color w:val="auto"/>
        </w:rPr>
        <w:t>传出神经末梢及其支配的肾上腺髓质</w:t>
      </w:r>
      <w:r>
        <w:rPr>
          <w:rFonts w:hint="eastAsia"/>
          <w:color w:val="auto"/>
          <w:lang w:val="en-US" w:eastAsia="zh-CN"/>
        </w:rPr>
        <w:t xml:space="preserve">  </w:t>
      </w:r>
      <w:r>
        <w:rPr>
          <w:rFonts w:ascii="Times New Roman" w:hAnsi="Times New Roman"/>
          <w:color w:val="auto"/>
        </w:rPr>
        <w:t>糖皮质</w:t>
      </w:r>
      <w:r>
        <w:rPr>
          <w:rFonts w:hint="eastAsia"/>
          <w:color w:val="auto"/>
          <w:lang w:val="en-US" w:eastAsia="zh-CN"/>
        </w:rPr>
        <w:t xml:space="preserve">  </w:t>
      </w:r>
      <w:r>
        <w:rPr>
          <w:rFonts w:ascii="Times New Roman" w:hAnsi="Times New Roman"/>
          <w:color w:val="auto"/>
        </w:rPr>
        <w:t>免疫</w:t>
      </w:r>
      <w:r>
        <w:rPr>
          <w:rFonts w:hint="eastAsia"/>
          <w:color w:val="auto"/>
          <w:lang w:val="en-US" w:eastAsia="zh-CN"/>
        </w:rPr>
        <w:t xml:space="preserve"> </w:t>
      </w:r>
      <w:r>
        <w:rPr>
          <w:rFonts w:ascii="Times New Roman" w:hAnsi="Times New Roman"/>
          <w:color w:val="auto"/>
        </w:rPr>
        <w:t>(2)①ACD</w:t>
      </w:r>
      <w:r>
        <w:rPr>
          <w:rFonts w:hint="eastAsia"/>
          <w:color w:val="auto"/>
          <w:lang w:val="en-US" w:eastAsia="zh-CN"/>
        </w:rPr>
        <w:t xml:space="preserve">  </w:t>
      </w:r>
      <w:r>
        <w:rPr>
          <w:rFonts w:ascii="Times New Roman" w:hAnsi="Times New Roman"/>
          <w:color w:val="auto"/>
        </w:rPr>
        <w:t>②长期精神压力导致糖皮质激素含量增加（1分），一方面促进压力相关肠神经胶质细胞释放CSF1，引起肠道炎症反应加剧，另一方面促进TGFβ2含量升高，抑制肠神经元的发育，导致消化不良。（1分）</w:t>
      </w:r>
      <w:r>
        <w:rPr>
          <w:rFonts w:hint="eastAsia"/>
          <w:color w:val="auto"/>
          <w:lang w:val="en-US" w:eastAsia="zh-CN"/>
        </w:rPr>
        <w:t xml:space="preserve">  </w:t>
      </w:r>
      <w:r>
        <w:rPr>
          <w:rFonts w:ascii="Times New Roman" w:hAnsi="Times New Roman"/>
          <w:color w:val="auto"/>
        </w:rPr>
        <w:t>③抑制CSF1分泌（或降低TNF含量、使用抗菌药物、减轻精神压力等，合理即可）</w:t>
      </w:r>
      <w:r>
        <w:rPr>
          <w:rFonts w:hint="eastAsia"/>
          <w:color w:val="auto"/>
          <w:lang w:val="en-US" w:eastAsia="zh-CN"/>
        </w:rPr>
        <w:t xml:space="preserve">  </w:t>
      </w:r>
      <w:r>
        <w:rPr>
          <w:rFonts w:ascii="Times New Roman" w:hAnsi="Times New Roman"/>
          <w:color w:val="auto"/>
        </w:rPr>
        <w:t>（3）①下丘脑、垂体中糖皮质激素受体的敏感性下降</w:t>
      </w:r>
      <w:r>
        <w:rPr>
          <w:rFonts w:hint="eastAsia"/>
          <w:color w:val="auto"/>
          <w:lang w:val="en-US" w:eastAsia="zh-CN"/>
        </w:rPr>
        <w:t xml:space="preserve">  </w:t>
      </w:r>
      <w:r>
        <w:rPr>
          <w:rFonts w:ascii="Times New Roman" w:hAnsi="Times New Roman"/>
          <w:color w:val="auto"/>
        </w:rPr>
        <w:t>②大脑皮层和下丘脑中的IL-1β和IL-6水平降低</w:t>
      </w:r>
      <w:r>
        <w:rPr>
          <w:rFonts w:hint="eastAsia" w:ascii="Times New Roman" w:hAnsi="Times New Roman"/>
          <w:color w:val="auto"/>
          <w:lang w:val="en-US" w:eastAsia="zh-CN"/>
        </w:rPr>
        <w:t xml:space="preserve">     </w:t>
      </w:r>
      <w:r>
        <w:rPr>
          <w:rFonts w:ascii="Times New Roman" w:hAnsi="Times New Roman"/>
          <w:color w:val="auto"/>
        </w:rPr>
        <w:t>免疫防御和免疫监视</w:t>
      </w:r>
    </w:p>
    <w:p w14:paraId="6E8DDE91">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textAlignment w:val="auto"/>
        <w:outlineLvl w:val="9"/>
        <w:rPr>
          <w:rFonts w:ascii="Times New Roman" w:hAnsi="Times New Roman"/>
          <w:color w:val="auto"/>
        </w:rPr>
      </w:pPr>
    </w:p>
    <w:p w14:paraId="32EFF6BB">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textAlignment w:val="auto"/>
        <w:outlineLvl w:val="9"/>
        <w:rPr>
          <w:rFonts w:ascii="Times New Roman" w:hAnsi="Times New Roman"/>
          <w:color w:val="auto"/>
        </w:rPr>
      </w:pPr>
      <w:r>
        <w:rPr>
          <w:rFonts w:ascii="Times New Roman" w:hAnsi="Times New Roman"/>
          <w:color w:val="auto"/>
        </w:rPr>
        <w:t>22</w:t>
      </w:r>
      <w:r>
        <w:rPr>
          <w:rFonts w:hint="eastAsia"/>
          <w:color w:val="auto"/>
          <w:lang w:val="en-US" w:eastAsia="zh-CN"/>
        </w:rPr>
        <w:t>.</w:t>
      </w:r>
      <w:r>
        <w:rPr>
          <w:rFonts w:ascii="Times New Roman" w:hAnsi="Times New Roman"/>
          <w:color w:val="auto"/>
        </w:rPr>
        <w:t>（10分）（1）（森林）生态系统</w:t>
      </w:r>
      <w:r>
        <w:rPr>
          <w:rFonts w:hint="eastAsia"/>
          <w:color w:val="auto"/>
          <w:lang w:val="en-US" w:eastAsia="zh-CN"/>
        </w:rPr>
        <w:t xml:space="preserve">  </w:t>
      </w:r>
      <w:r>
        <w:rPr>
          <w:rFonts w:ascii="Times New Roman" w:hAnsi="Times New Roman"/>
          <w:color w:val="auto"/>
        </w:rPr>
        <w:t>乙</w:t>
      </w:r>
      <w:r>
        <w:rPr>
          <w:rFonts w:hint="eastAsia"/>
          <w:color w:val="auto"/>
          <w:lang w:val="en-US" w:eastAsia="zh-CN"/>
        </w:rPr>
        <w:t xml:space="preserve">  </w:t>
      </w:r>
      <w:r>
        <w:rPr>
          <w:rFonts w:ascii="Times New Roman" w:hAnsi="Times New Roman"/>
          <w:color w:val="auto"/>
        </w:rPr>
        <w:t>有机物</w:t>
      </w:r>
      <w:r>
        <w:rPr>
          <w:rFonts w:hint="eastAsia"/>
          <w:color w:val="auto"/>
          <w:lang w:val="en-US" w:eastAsia="zh-CN"/>
        </w:rPr>
        <w:t xml:space="preserve">  </w:t>
      </w:r>
      <w:r>
        <w:rPr>
          <w:rFonts w:ascii="Times New Roman" w:hAnsi="Times New Roman"/>
          <w:color w:val="auto"/>
        </w:rPr>
        <w:t>（2）抵抗力</w:t>
      </w:r>
      <w:r>
        <w:rPr>
          <w:rFonts w:hint="eastAsia"/>
          <w:color w:val="auto"/>
          <w:lang w:val="en-US" w:eastAsia="zh-CN"/>
        </w:rPr>
        <w:t xml:space="preserve">  </w:t>
      </w:r>
      <w:r>
        <w:rPr>
          <w:rFonts w:ascii="Times New Roman" w:hAnsi="Times New Roman"/>
          <w:color w:val="auto"/>
        </w:rPr>
        <w:t>次生</w:t>
      </w:r>
      <w:r>
        <w:rPr>
          <w:rFonts w:hint="eastAsia"/>
          <w:color w:val="auto"/>
          <w:lang w:val="en-US" w:eastAsia="zh-CN"/>
        </w:rPr>
        <w:t xml:space="preserve">  </w:t>
      </w:r>
      <w:r>
        <w:rPr>
          <w:rFonts w:ascii="Times New Roman" w:hAnsi="Times New Roman"/>
          <w:color w:val="auto"/>
        </w:rPr>
        <w:t>（3）样方法</w:t>
      </w:r>
      <w:r>
        <w:rPr>
          <w:rFonts w:hint="eastAsia" w:ascii="Times New Roman" w:hAnsi="Times New Roman"/>
          <w:color w:val="auto"/>
          <w:lang w:val="en-US" w:eastAsia="zh-CN"/>
        </w:rPr>
        <w:tab/>
      </w:r>
      <w:r>
        <w:rPr>
          <w:rFonts w:ascii="Times New Roman" w:hAnsi="Times New Roman"/>
          <w:color w:val="auto"/>
        </w:rPr>
        <w:t>乔木和灌木比例明显偏低，草本植物比例明显偏高</w:t>
      </w:r>
      <w:r>
        <w:rPr>
          <w:rFonts w:hint="eastAsia" w:ascii="Times New Roman" w:hAnsi="Times New Roman"/>
          <w:color w:val="auto"/>
          <w:lang w:val="en-US" w:eastAsia="zh-CN"/>
        </w:rPr>
        <w:tab/>
      </w:r>
      <w:r>
        <w:rPr>
          <w:rFonts w:ascii="Times New Roman" w:hAnsi="Times New Roman"/>
          <w:color w:val="auto"/>
        </w:rPr>
        <w:t>物种</w:t>
      </w:r>
      <w:r>
        <w:rPr>
          <w:rFonts w:hint="eastAsia"/>
          <w:color w:val="auto"/>
          <w:lang w:val="en-US" w:eastAsia="zh-CN"/>
        </w:rPr>
        <w:t xml:space="preserve"> </w:t>
      </w:r>
      <w:r>
        <w:rPr>
          <w:rFonts w:ascii="Times New Roman" w:hAnsi="Times New Roman"/>
          <w:color w:val="auto"/>
        </w:rPr>
        <w:t>（4）①间接</w:t>
      </w:r>
      <w:r>
        <w:rPr>
          <w:rFonts w:hint="eastAsia" w:ascii="Times New Roman" w:hAnsi="Times New Roman"/>
          <w:color w:val="auto"/>
          <w:lang w:val="en-US" w:eastAsia="zh-CN"/>
        </w:rPr>
        <w:tab/>
      </w:r>
      <w:r>
        <w:rPr>
          <w:rFonts w:ascii="Times New Roman" w:hAnsi="Times New Roman"/>
          <w:color w:val="auto"/>
        </w:rPr>
        <w:t>②ABDE</w:t>
      </w:r>
    </w:p>
    <w:p w14:paraId="17073879">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textAlignment w:val="auto"/>
        <w:outlineLvl w:val="9"/>
        <w:rPr>
          <w:rFonts w:ascii="Times New Roman" w:hAnsi="Times New Roman"/>
          <w:color w:val="auto"/>
        </w:rPr>
      </w:pPr>
    </w:p>
    <w:p w14:paraId="5D7D34E3">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textAlignment w:val="auto"/>
        <w:outlineLvl w:val="9"/>
        <w:rPr>
          <w:rFonts w:ascii="Times New Roman" w:hAnsi="Times New Roman"/>
          <w:color w:val="auto"/>
        </w:rPr>
      </w:pPr>
      <w:r>
        <w:rPr>
          <w:rFonts w:ascii="Times New Roman" w:hAnsi="Times New Roman"/>
          <w:color w:val="auto"/>
        </w:rPr>
        <w:t>23</w:t>
      </w:r>
      <w:r>
        <w:rPr>
          <w:rFonts w:hint="eastAsia"/>
          <w:color w:val="auto"/>
          <w:lang w:val="en-US" w:eastAsia="zh-CN"/>
        </w:rPr>
        <w:t>.</w:t>
      </w:r>
      <w:r>
        <w:rPr>
          <w:rFonts w:ascii="Times New Roman" w:hAnsi="Times New Roman"/>
          <w:color w:val="auto"/>
        </w:rPr>
        <w:t>（12分）(1)SalI</w:t>
      </w:r>
      <w:r>
        <w:rPr>
          <w:rFonts w:hint="eastAsia" w:ascii="Times New Roman" w:hAnsi="Times New Roman"/>
          <w:color w:val="auto"/>
          <w:lang w:val="en-US" w:eastAsia="zh-CN"/>
        </w:rPr>
        <w:t xml:space="preserve">   </w:t>
      </w:r>
      <w:r>
        <w:rPr>
          <w:rFonts w:ascii="Times New Roman" w:hAnsi="Times New Roman"/>
          <w:color w:val="auto"/>
        </w:rPr>
        <w:t>EcoRI</w:t>
      </w:r>
      <w:r>
        <w:rPr>
          <w:rFonts w:hint="eastAsia" w:ascii="Times New Roman" w:hAnsi="Times New Roman"/>
          <w:color w:val="auto"/>
          <w:lang w:val="en-US" w:eastAsia="zh-CN"/>
        </w:rPr>
        <w:t xml:space="preserve">    </w:t>
      </w:r>
      <w:r>
        <w:rPr>
          <w:rFonts w:ascii="Times New Roman" w:hAnsi="Times New Roman"/>
          <w:color w:val="auto"/>
        </w:rPr>
        <w:t>dNTP、耐高温的DNA聚合酶、Mg</w:t>
      </w:r>
      <w:r>
        <w:rPr>
          <w:rFonts w:ascii="Times New Roman" w:hAnsi="Times New Roman"/>
          <w:color w:val="auto"/>
          <w:vertAlign w:val="superscript"/>
        </w:rPr>
        <w:t>2＋</w:t>
      </w:r>
      <w:r>
        <w:rPr>
          <w:rFonts w:hint="eastAsia" w:ascii="Times New Roman" w:hAnsi="Times New Roman"/>
          <w:color w:val="auto"/>
          <w:vertAlign w:val="superscript"/>
          <w:lang w:val="en-US" w:eastAsia="zh-CN"/>
        </w:rPr>
        <w:t xml:space="preserve">    </w:t>
      </w:r>
      <w:r>
        <w:rPr>
          <w:rFonts w:ascii="Times New Roman" w:hAnsi="Times New Roman"/>
          <w:color w:val="auto"/>
        </w:rPr>
        <w:t>XhoI、MunI</w:t>
      </w:r>
      <w:r>
        <w:rPr>
          <w:rFonts w:hint="eastAsia" w:ascii="Times New Roman" w:hAnsi="Times New Roman"/>
          <w:color w:val="auto"/>
          <w:lang w:val="en-US" w:eastAsia="zh-CN"/>
        </w:rPr>
        <w:t xml:space="preserve">   </w:t>
      </w:r>
      <w:r>
        <w:rPr>
          <w:rFonts w:ascii="Times New Roman" w:hAnsi="Times New Roman"/>
          <w:color w:val="auto"/>
        </w:rPr>
        <w:t>6</w:t>
      </w:r>
    </w:p>
    <w:p w14:paraId="5A99E857">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textAlignment w:val="auto"/>
        <w:outlineLvl w:val="9"/>
        <w:rPr>
          <w:rFonts w:ascii="Times New Roman" w:hAnsi="Times New Roman"/>
          <w:color w:val="auto"/>
        </w:rPr>
      </w:pPr>
      <w:r>
        <w:rPr>
          <w:rFonts w:ascii="Times New Roman" w:hAnsi="Times New Roman"/>
          <w:color w:val="auto"/>
        </w:rPr>
        <w:t>（2）除去</w:t>
      </w:r>
      <w:r>
        <w:rPr>
          <w:rFonts w:hint="eastAsia" w:ascii="Times New Roman" w:hAnsi="Times New Roman"/>
          <w:color w:val="auto"/>
          <w:lang w:val="en-US" w:eastAsia="zh-CN"/>
        </w:rPr>
        <w:t xml:space="preserve">    </w:t>
      </w:r>
      <w:r>
        <w:rPr>
          <w:rFonts w:ascii="Times New Roman" w:hAnsi="Times New Roman"/>
          <w:color w:val="auto"/>
        </w:rPr>
        <w:t>不同</w:t>
      </w:r>
      <w:r>
        <w:rPr>
          <w:rFonts w:hint="eastAsia" w:ascii="Times New Roman" w:hAnsi="Times New Roman"/>
          <w:color w:val="auto"/>
          <w:lang w:val="en-US" w:eastAsia="zh-CN"/>
        </w:rPr>
        <w:t xml:space="preserve">    </w:t>
      </w:r>
      <w:r>
        <w:rPr>
          <w:rFonts w:ascii="Times New Roman" w:hAnsi="Times New Roman"/>
          <w:color w:val="auto"/>
        </w:rPr>
        <w:t>F</w:t>
      </w:r>
      <w:r>
        <w:rPr>
          <w:rFonts w:ascii="Times New Roman" w:hAnsi="Times New Roman"/>
          <w:color w:val="auto"/>
          <w:vertAlign w:val="subscript"/>
        </w:rPr>
        <w:t>7</w:t>
      </w:r>
      <w:r>
        <w:rPr>
          <w:rFonts w:ascii="Times New Roman" w:hAnsi="Times New Roman"/>
          <w:color w:val="auto"/>
        </w:rPr>
        <w:t>与R扩增产物不含完整的启动子，荧光蛋白基因不表达</w:t>
      </w:r>
    </w:p>
    <w:p w14:paraId="0C00A04C">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textAlignment w:val="auto"/>
        <w:outlineLvl w:val="9"/>
        <w:rPr>
          <w:rFonts w:ascii="Times New Roman" w:hAnsi="Times New Roman"/>
          <w:color w:val="auto"/>
        </w:rPr>
      </w:pPr>
      <w:r>
        <w:rPr>
          <w:rFonts w:ascii="Times New Roman" w:hAnsi="Times New Roman"/>
          <w:color w:val="auto"/>
        </w:rPr>
        <w:t>（3）雌激素</w:t>
      </w:r>
      <w:r>
        <w:rPr>
          <w:rFonts w:hint="eastAsia" w:ascii="Times New Roman" w:hAnsi="Times New Roman"/>
          <w:color w:val="auto"/>
          <w:lang w:val="en-US" w:eastAsia="zh-CN"/>
        </w:rPr>
        <w:t xml:space="preserve">    </w:t>
      </w:r>
      <w:r>
        <w:rPr>
          <w:rFonts w:ascii="Times New Roman" w:hAnsi="Times New Roman"/>
          <w:color w:val="auto"/>
        </w:rPr>
        <w:t>F</w:t>
      </w:r>
      <w:r>
        <w:rPr>
          <w:rFonts w:ascii="Times New Roman" w:hAnsi="Times New Roman"/>
          <w:color w:val="auto"/>
          <w:vertAlign w:val="subscript"/>
        </w:rPr>
        <w:t>4</w:t>
      </w:r>
      <w:r>
        <w:rPr>
          <w:rFonts w:ascii="Times New Roman" w:hAnsi="Times New Roman"/>
          <w:color w:val="auto"/>
        </w:rPr>
        <w:t>、F</w:t>
      </w:r>
      <w:r>
        <w:rPr>
          <w:rFonts w:hint="eastAsia" w:ascii="Times New Roman" w:hAnsi="Times New Roman"/>
          <w:color w:val="auto"/>
          <w:vertAlign w:val="subscript"/>
          <w:lang w:val="en-US" w:eastAsia="zh-CN"/>
        </w:rPr>
        <w:t>5</w:t>
      </w:r>
      <w:r>
        <w:rPr>
          <w:rFonts w:ascii="Times New Roman" w:hAnsi="Times New Roman"/>
          <w:color w:val="auto"/>
        </w:rPr>
        <w:t>根据有无荧光情况判断，F</w:t>
      </w:r>
      <w:r>
        <w:rPr>
          <w:rFonts w:ascii="Times New Roman" w:hAnsi="Times New Roman"/>
          <w:color w:val="auto"/>
          <w:vertAlign w:val="subscript"/>
        </w:rPr>
        <w:t>1</w:t>
      </w:r>
      <w:r>
        <w:rPr>
          <w:rFonts w:ascii="Times New Roman" w:hAnsi="Times New Roman"/>
          <w:color w:val="auto"/>
        </w:rPr>
        <w:t>～F</w:t>
      </w:r>
      <w:r>
        <w:rPr>
          <w:rFonts w:ascii="Times New Roman" w:hAnsi="Times New Roman"/>
          <w:color w:val="auto"/>
          <w:vertAlign w:val="subscript"/>
        </w:rPr>
        <w:t>4</w:t>
      </w:r>
      <w:r>
        <w:rPr>
          <w:rFonts w:ascii="Times New Roman" w:hAnsi="Times New Roman"/>
          <w:color w:val="auto"/>
        </w:rPr>
        <w:t>与R扩增产物上均有结合位点，因此结合位点位于F4所对应调控序列的下游（右侧）（1分）；F</w:t>
      </w:r>
      <w:r>
        <w:rPr>
          <w:rFonts w:hint="eastAsia" w:ascii="Times New Roman" w:hAnsi="Times New Roman"/>
          <w:color w:val="auto"/>
          <w:vertAlign w:val="subscript"/>
          <w:lang w:val="en-US" w:eastAsia="zh-CN"/>
        </w:rPr>
        <w:t>5</w:t>
      </w:r>
      <w:r>
        <w:rPr>
          <w:rFonts w:ascii="Times New Roman" w:hAnsi="Times New Roman"/>
          <w:color w:val="auto"/>
        </w:rPr>
        <w:t>～F</w:t>
      </w:r>
      <w:r>
        <w:rPr>
          <w:rFonts w:ascii="Times New Roman" w:hAnsi="Times New Roman"/>
          <w:color w:val="auto"/>
          <w:vertAlign w:val="subscript"/>
        </w:rPr>
        <w:t>6</w:t>
      </w:r>
      <w:r>
        <w:rPr>
          <w:rFonts w:ascii="Times New Roman" w:hAnsi="Times New Roman"/>
          <w:color w:val="auto"/>
        </w:rPr>
        <w:t>与R扩增产物上均无结合位点，可知结合位点位于F</w:t>
      </w:r>
      <w:r>
        <w:rPr>
          <w:rFonts w:hint="eastAsia" w:ascii="Times New Roman" w:hAnsi="Times New Roman"/>
          <w:color w:val="auto"/>
          <w:vertAlign w:val="subscript"/>
          <w:lang w:val="en-US" w:eastAsia="zh-CN"/>
        </w:rPr>
        <w:t>5</w:t>
      </w:r>
      <w:r>
        <w:rPr>
          <w:rFonts w:ascii="Times New Roman" w:hAnsi="Times New Roman"/>
          <w:color w:val="auto"/>
        </w:rPr>
        <w:t>所对应调控序列的上游（左侧）（1分），所以结合位点位于引物F</w:t>
      </w:r>
      <w:r>
        <w:rPr>
          <w:rFonts w:ascii="Times New Roman" w:hAnsi="Times New Roman"/>
          <w:color w:val="auto"/>
          <w:vertAlign w:val="subscript"/>
        </w:rPr>
        <w:t>4</w:t>
      </w:r>
      <w:r>
        <w:rPr>
          <w:rFonts w:ascii="Times New Roman" w:hAnsi="Times New Roman"/>
          <w:color w:val="auto"/>
        </w:rPr>
        <w:t>与F</w:t>
      </w:r>
      <w:r>
        <w:rPr>
          <w:rFonts w:hint="eastAsia" w:ascii="Times New Roman" w:hAnsi="Times New Roman"/>
          <w:color w:val="auto"/>
          <w:vertAlign w:val="subscript"/>
          <w:lang w:val="en-US" w:eastAsia="zh-CN"/>
        </w:rPr>
        <w:t>5</w:t>
      </w:r>
      <w:r>
        <w:rPr>
          <w:rFonts w:ascii="Times New Roman" w:hAnsi="Times New Roman"/>
          <w:color w:val="auto"/>
        </w:rPr>
        <w:t>在调控序列上所对应序列之间的区段上</w:t>
      </w:r>
    </w:p>
    <w:p w14:paraId="46D1E8C2">
      <w:pPr>
        <w:spacing w:line="240" w:lineRule="auto"/>
        <w:jc w:val="left"/>
        <w:textAlignment w:val="center"/>
        <w:rPr>
          <w:rFonts w:ascii="宋体" w:hAnsi="宋体" w:eastAsia="宋体" w:cs="宋体"/>
          <w:color w:val="auto"/>
        </w:rPr>
      </w:pPr>
    </w:p>
    <w:sectPr>
      <w:headerReference r:id="rId5" w:type="first"/>
      <w:footerReference r:id="rId8" w:type="first"/>
      <w:headerReference r:id="rId3" w:type="default"/>
      <w:footerReference r:id="rId6" w:type="default"/>
      <w:headerReference r:id="rId4" w:type="even"/>
      <w:footerReference r:id="rId7" w:type="even"/>
      <w:pgSz w:w="10431" w:h="14740"/>
      <w:pgMar w:top="1020" w:right="1020" w:bottom="907" w:left="102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F9EA1">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6659405E">
    <w:pPr>
      <w:pStyle w:val="2"/>
    </w:pPr>
  </w:p>
  <w:p w14:paraId="60CB2527">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F0EEE">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A377A">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6F17D">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87974">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73703">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lYmE0NjEyNTA3NDliOWQ0MjI1NGRkNjk2MWJmZG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1750E9D"/>
    <w:rsid w:val="058137BE"/>
    <w:rsid w:val="0BCB7119"/>
    <w:rsid w:val="18DB1B95"/>
    <w:rsid w:val="19685329"/>
    <w:rsid w:val="1D200FCB"/>
    <w:rsid w:val="231E7EF6"/>
    <w:rsid w:val="241206FD"/>
    <w:rsid w:val="38274566"/>
    <w:rsid w:val="41BD0A92"/>
    <w:rsid w:val="42502F3A"/>
    <w:rsid w:val="437D1DC4"/>
    <w:rsid w:val="43C82E1A"/>
    <w:rsid w:val="44105025"/>
    <w:rsid w:val="4CBF5125"/>
    <w:rsid w:val="5254361F"/>
    <w:rsid w:val="536E409E"/>
    <w:rsid w:val="5E58112D"/>
    <w:rsid w:val="5E9C5745"/>
    <w:rsid w:val="635B2738"/>
    <w:rsid w:val="65895454"/>
    <w:rsid w:val="68F951B1"/>
    <w:rsid w:val="69D618AD"/>
    <w:rsid w:val="71FF043F"/>
    <w:rsid w:val="7D104304"/>
    <w:rsid w:val="7DF71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8"/>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autoRedefine/>
    <w:unhideWhenUsed/>
    <w:qFormat/>
    <w:uiPriority w:val="99"/>
    <w:rPr>
      <w:color w:val="0000FF"/>
      <w:u w:val="single"/>
    </w:rPr>
  </w:style>
  <w:style w:type="character" w:customStyle="1" w:styleId="8">
    <w:name w:val="页眉 字符"/>
    <w:basedOn w:val="6"/>
    <w:link w:val="3"/>
    <w:autoRedefine/>
    <w:qFormat/>
    <w:uiPriority w:val="99"/>
    <w:rPr>
      <w:kern w:val="2"/>
      <w:sz w:val="18"/>
      <w:szCs w:val="24"/>
    </w:rPr>
  </w:style>
  <w:style w:type="paragraph" w:styleId="9">
    <w:name w:val="No Spacing"/>
    <w:autoRedefine/>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25252525252525257B75232B38-A165-1FB7-499C-2E1C792CACB5%2525252525252525252525252525252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25252525252525257B75232B38-A165-1FB7-499C-2E1C792CACB5%2525252525252525252525252525252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11</Pages>
  <Words>8108</Words>
  <Characters>9611</Characters>
  <Lines>0</Lines>
  <Paragraphs>0</Paragraphs>
  <TotalTime>0</TotalTime>
  <ScaleCrop>false</ScaleCrop>
  <LinksUpToDate>false</LinksUpToDate>
  <CharactersWithSpaces>11035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2024-03-24T11:04:00Z</dcterms:created>
  <dc:creator>学科网试题生产平台</dc:creator>
  <dc:description>3459709591314432</dc:description>
  <cp:lastModifiedBy>Jason mi</cp:lastModifiedBy>
  <dcterms:modified xsi:type="dcterms:W3CDTF">2024-07-15T06:51:09Z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2052-12.1.0.17147</vt:lpwstr>
  </property>
  <property fmtid="{D5CDD505-2E9C-101B-9397-08002B2CF9AE}" pid="7" name="ICV">
    <vt:lpwstr>C98E24674C3E4071AC43857127D399E2_12</vt:lpwstr>
  </property>
</Properties>
</file>