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BEA35F">
      <w:pPr>
        <w:spacing w:line="240" w:lineRule="auto"/>
        <w:jc w:val="center"/>
        <w:rPr>
          <w:rFonts w:hint="eastAsia" w:ascii="Times New Roman" w:hAnsi="Times New Roman" w:eastAsia="Times New Roman" w:cs="Times New Roman"/>
          <w:b/>
          <w:color w:val="000000" w:themeColor="text1"/>
          <w:sz w:val="32"/>
          <w14:textFill>
            <w14:solidFill>
              <w14:schemeClr w14:val="tx1"/>
            </w14:solidFill>
          </w14:textFill>
        </w:rPr>
      </w:pPr>
      <w:bookmarkStart w:id="0" w:name="_GoBack"/>
      <w:bookmarkEnd w:id="0"/>
      <w:r>
        <w:rPr>
          <w:rFonts w:hint="eastAsia" w:eastAsia="宋体" w:cs="Times New Roman"/>
          <w:b/>
          <w:color w:val="000000" w:themeColor="text1"/>
          <w:sz w:val="32"/>
          <w:lang w:eastAsia="zh-CN"/>
          <w14:textFill>
            <w14:solidFill>
              <w14:schemeClr w14:val="tx1"/>
            </w14:solidFill>
          </w14:textFill>
        </w:rPr>
        <w:t>苏通练习精品卷</w:t>
      </w:r>
      <w:r>
        <w:rPr>
          <w:rFonts w:hint="eastAsia" w:ascii="Times New Roman" w:hAnsi="Times New Roman" w:eastAsia="Times New Roman" w:cs="Times New Roman"/>
          <w:b/>
          <w:color w:val="000000" w:themeColor="text1"/>
          <w:sz w:val="32"/>
          <w14:textFill>
            <w14:solidFill>
              <w14:schemeClr w14:val="tx1"/>
            </w14:solidFill>
          </w14:textFill>
        </w:rPr>
        <w:t>2024届高三生物周练（</w:t>
      </w:r>
      <w:r>
        <w:rPr>
          <w:rFonts w:hint="eastAsia" w:cs="Times New Roman"/>
          <w:b/>
          <w:color w:val="000000" w:themeColor="text1"/>
          <w:sz w:val="32"/>
          <w:lang w:val="en-US" w:eastAsia="zh-CN"/>
          <w14:textFill>
            <w14:solidFill>
              <w14:schemeClr w14:val="tx1"/>
            </w14:solidFill>
          </w14:textFill>
        </w:rPr>
        <w:t>二</w:t>
      </w:r>
      <w:r>
        <w:rPr>
          <w:rFonts w:hint="eastAsia" w:ascii="Times New Roman" w:hAnsi="Times New Roman" w:eastAsia="Times New Roman" w:cs="Times New Roman"/>
          <w:b/>
          <w:color w:val="000000" w:themeColor="text1"/>
          <w:sz w:val="32"/>
          <w14:textFill>
            <w14:solidFill>
              <w14:schemeClr w14:val="tx1"/>
            </w14:solidFill>
          </w14:textFill>
        </w:rPr>
        <w:t>十</w:t>
      </w:r>
      <w:r>
        <w:rPr>
          <w:rFonts w:hint="eastAsia" w:cs="Times New Roman"/>
          <w:b/>
          <w:color w:val="000000" w:themeColor="text1"/>
          <w:sz w:val="32"/>
          <w:lang w:val="en-US" w:eastAsia="zh-CN"/>
          <w14:textFill>
            <w14:solidFill>
              <w14:schemeClr w14:val="tx1"/>
            </w14:solidFill>
          </w14:textFill>
        </w:rPr>
        <w:t>七</w:t>
      </w:r>
      <w:r>
        <w:rPr>
          <w:rFonts w:hint="eastAsia" w:ascii="Times New Roman" w:hAnsi="Times New Roman" w:eastAsia="Times New Roman" w:cs="Times New Roman"/>
          <w:b/>
          <w:color w:val="000000" w:themeColor="text1"/>
          <w:sz w:val="32"/>
          <w14:textFill>
            <w14:solidFill>
              <w14:schemeClr w14:val="tx1"/>
            </w14:solidFill>
          </w14:textFill>
        </w:rPr>
        <w:t>）</w:t>
      </w:r>
    </w:p>
    <w:p w14:paraId="4AE888DD">
      <w:pPr>
        <w:spacing w:line="240" w:lineRule="auto"/>
        <w:jc w:val="center"/>
        <w:rPr>
          <w:rFonts w:hint="default"/>
          <w:color w:val="000000" w:themeColor="text1"/>
          <w:lang w:val="en-US"/>
          <w14:textFill>
            <w14:solidFill>
              <w14:schemeClr w14:val="tx1"/>
            </w14:solidFill>
          </w14:textFill>
        </w:rPr>
      </w:pPr>
      <w:r>
        <w:rPr>
          <w:color w:val="000000" w:themeColor="text1"/>
          <w14:textFill>
            <w14:solidFill>
              <w14:schemeClr w14:val="tx1"/>
            </w14:solidFill>
          </w14:textFill>
        </w:rPr>
        <w:t xml:space="preserve"> </w:t>
      </w:r>
      <w:r>
        <w:rPr>
          <w:rFonts w:ascii="Times New Roman" w:hAnsi="Times New Roman" w:eastAsia="Times New Roman" w:cs="Times New Roman"/>
          <w:b/>
          <w:color w:val="000000" w:themeColor="text1"/>
          <w:sz w:val="32"/>
          <w14:textFill>
            <w14:solidFill>
              <w14:schemeClr w14:val="tx1"/>
            </w14:solidFill>
          </w14:textFill>
        </w:rPr>
        <w:drawing>
          <wp:anchor distT="0" distB="0" distL="114300" distR="114300" simplePos="0" relativeHeight="251659264" behindDoc="0" locked="0" layoutInCell="1" allowOverlap="1">
            <wp:simplePos x="0" y="0"/>
            <wp:positionH relativeFrom="page">
              <wp:posOffset>10325100</wp:posOffset>
            </wp:positionH>
            <wp:positionV relativeFrom="topMargin">
              <wp:posOffset>10464800</wp:posOffset>
            </wp:positionV>
            <wp:extent cx="317500" cy="330200"/>
            <wp:effectExtent l="0" t="0" r="0" b="0"/>
            <wp:wrapNone/>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pic:cNvPicPr>
                      <a:picLocks noChangeAspect="1"/>
                    </pic:cNvPicPr>
                  </pic:nvPicPr>
                  <pic:blipFill>
                    <a:blip r:embed="rId10"/>
                    <a:stretch>
                      <a:fillRect/>
                    </a:stretch>
                  </pic:blipFill>
                  <pic:spPr>
                    <a:xfrm>
                      <a:off x="0" y="0"/>
                      <a:ext cx="317500" cy="330200"/>
                    </a:xfrm>
                    <a:prstGeom prst="rect">
                      <a:avLst/>
                    </a:prstGeom>
                  </pic:spPr>
                </pic:pic>
              </a:graphicData>
            </a:graphic>
          </wp:anchor>
        </w:drawing>
      </w:r>
      <w:r>
        <w:rPr>
          <w:rFonts w:hint="eastAsia" w:ascii="宋体" w:hAnsi="宋体" w:cs="宋体"/>
          <w:color w:val="000000" w:themeColor="text1"/>
          <w:lang w:val="en-US" w:eastAsia="zh-CN"/>
          <w14:textFill>
            <w14:solidFill>
              <w14:schemeClr w14:val="tx1"/>
            </w14:solidFill>
          </w14:textFill>
        </w:rPr>
        <w:t>班级：_________    姓名：______________   学号：_________</w:t>
      </w:r>
    </w:p>
    <w:p w14:paraId="74D903DC">
      <w:pPr>
        <w:tabs>
          <w:tab w:val="left" w:pos="2520"/>
          <w:tab w:val="left" w:pos="5040"/>
          <w:tab w:val="left" w:pos="7560"/>
        </w:tabs>
        <w:spacing w:line="240" w:lineRule="auto"/>
        <w:rPr>
          <w:b/>
          <w:bCs/>
          <w:color w:val="000000" w:themeColor="text1"/>
          <w:sz w:val="24"/>
          <w:szCs w:val="32"/>
          <w14:textFill>
            <w14:solidFill>
              <w14:schemeClr w14:val="tx1"/>
            </w14:solidFill>
          </w14:textFill>
        </w:rPr>
      </w:pPr>
      <w:r>
        <w:rPr>
          <w:rFonts w:hint="eastAsia"/>
          <w:b/>
          <w:bCs/>
          <w:color w:val="000000" w:themeColor="text1"/>
          <w:sz w:val="21"/>
          <w:szCs w:val="21"/>
          <w14:textFill>
            <w14:solidFill>
              <w14:schemeClr w14:val="tx1"/>
            </w14:solidFill>
          </w14:textFill>
        </w:rPr>
        <w:t>一、单项选择题：本部分包括14题，每题2分，共计28分。每题只有一个选项最符合题意。</w:t>
      </w:r>
    </w:p>
    <w:p w14:paraId="75B3445B">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辅酶 I（ NAD</w:t>
      </w:r>
      <w:r>
        <w:rPr>
          <w:rFonts w:hint="eastAsia" w:ascii="宋体" w:hAnsi="宋体" w:eastAsia="宋体" w:cs="宋体"/>
          <w:color w:val="000000" w:themeColor="text1"/>
          <w:sz w:val="21"/>
          <w:szCs w:val="21"/>
          <w:vertAlign w:val="superscript"/>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）是参与细胞呼吸重要的物质，线粒体内膜上的 MCART1 蛋白能转运NAD</w:t>
      </w:r>
      <w:r>
        <w:rPr>
          <w:rFonts w:hint="eastAsia" w:ascii="宋体" w:hAnsi="宋体" w:eastAsia="宋体" w:cs="宋体"/>
          <w:color w:val="000000" w:themeColor="text1"/>
          <w:sz w:val="21"/>
          <w:szCs w:val="21"/>
          <w:vertAlign w:val="superscript"/>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 xml:space="preserve"> 进入线粒体。下列叙述正确的是</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w:t>
      </w:r>
    </w:p>
    <w:p w14:paraId="2D4D8714">
      <w:pPr>
        <w:keepNext w:val="0"/>
        <w:keepLines w:val="0"/>
        <w:pageBreakBefore w:val="0"/>
        <w:widowControl w:val="0"/>
        <w:tabs>
          <w:tab w:val="left" w:pos="4873"/>
        </w:tabs>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A.</w:t>
      </w:r>
      <w:r>
        <w:rPr>
          <w:rFonts w:hint="eastAsia" w:ascii="宋体" w:hAnsi="宋体" w:eastAsia="宋体" w:cs="宋体"/>
          <w:color w:val="000000" w:themeColor="text1"/>
          <w:sz w:val="21"/>
          <w:szCs w:val="21"/>
          <w14:textFill>
            <w14:solidFill>
              <w14:schemeClr w14:val="tx1"/>
            </w14:solidFill>
          </w14:textFill>
        </w:rPr>
        <w:t>NAD</w:t>
      </w:r>
      <w:r>
        <w:rPr>
          <w:rFonts w:hint="eastAsia" w:ascii="宋体" w:hAnsi="宋体" w:eastAsia="宋体" w:cs="宋体"/>
          <w:color w:val="000000" w:themeColor="text1"/>
          <w:sz w:val="21"/>
          <w:szCs w:val="21"/>
          <w:vertAlign w:val="superscript"/>
          <w14:textFill>
            <w14:solidFill>
              <w14:schemeClr w14:val="tx1"/>
            </w14:solidFill>
          </w14:textFill>
        </w:rPr>
        <w:t>＋</w:t>
      </w:r>
      <w:r>
        <w:rPr>
          <w:rFonts w:hint="eastAsia" w:ascii="宋体" w:hAnsi="宋体" w:eastAsia="宋体" w:cs="宋体"/>
          <w:color w:val="000000" w:themeColor="text1"/>
          <w:sz w:val="21"/>
          <w:szCs w:val="21"/>
          <w:vertAlign w:val="baseline"/>
          <w:lang w:val="en-US" w:eastAsia="zh-CN"/>
          <w14:textFill>
            <w14:solidFill>
              <w14:schemeClr w14:val="tx1"/>
            </w14:solidFill>
          </w14:textFill>
        </w:rPr>
        <w:t>可</w:t>
      </w:r>
      <w:r>
        <w:rPr>
          <w:rFonts w:hint="eastAsia" w:ascii="宋体" w:hAnsi="宋体" w:eastAsia="宋体" w:cs="宋体"/>
          <w:color w:val="000000" w:themeColor="text1"/>
          <w:sz w:val="21"/>
          <w:szCs w:val="21"/>
          <w14:textFill>
            <w14:solidFill>
              <w14:schemeClr w14:val="tx1"/>
            </w14:solidFill>
          </w14:textFill>
        </w:rPr>
        <w:t>在线粒体</w:t>
      </w:r>
      <w:r>
        <w:rPr>
          <w:rFonts w:hint="eastAsia" w:ascii="宋体" w:hAnsi="宋体" w:eastAsia="宋体" w:cs="宋体"/>
          <w:color w:val="000000" w:themeColor="text1"/>
          <w:sz w:val="21"/>
          <w:szCs w:val="21"/>
          <w:lang w:val="en-US" w:eastAsia="zh-CN"/>
          <w14:textFill>
            <w14:solidFill>
              <w14:schemeClr w14:val="tx1"/>
            </w14:solidFill>
          </w14:textFill>
        </w:rPr>
        <w:t>基质中</w:t>
      </w:r>
      <w:r>
        <w:rPr>
          <w:rFonts w:hint="eastAsia" w:ascii="宋体" w:hAnsi="宋体" w:eastAsia="宋体" w:cs="宋体"/>
          <w:color w:val="000000" w:themeColor="text1"/>
          <w:sz w:val="21"/>
          <w:szCs w:val="21"/>
          <w14:textFill>
            <w14:solidFill>
              <w14:schemeClr w14:val="tx1"/>
            </w14:solidFill>
          </w14:textFill>
        </w:rPr>
        <w:t>转化为NADH</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lang w:val="en-US" w:eastAsia="zh-CN"/>
          <w14:textFill>
            <w14:solidFill>
              <w14:schemeClr w14:val="tx1"/>
            </w14:solidFill>
          </w14:textFill>
        </w:rPr>
        <w:t>B.</w:t>
      </w:r>
      <w:r>
        <w:rPr>
          <w:rFonts w:hint="eastAsia" w:ascii="宋体" w:hAnsi="宋体" w:eastAsia="宋体" w:cs="宋体"/>
          <w:color w:val="000000" w:themeColor="text1"/>
          <w:sz w:val="21"/>
          <w:szCs w:val="21"/>
          <w14:textFill>
            <w14:solidFill>
              <w14:schemeClr w14:val="tx1"/>
            </w14:solidFill>
          </w14:textFill>
        </w:rPr>
        <w:t>MCART1基因只在骨骼肌细胞中特异性表达</w:t>
      </w:r>
    </w:p>
    <w:p w14:paraId="1B0AB6FB">
      <w:pPr>
        <w:keepNext w:val="0"/>
        <w:keepLines w:val="0"/>
        <w:pageBreakBefore w:val="0"/>
        <w:widowControl w:val="0"/>
        <w:tabs>
          <w:tab w:val="left" w:pos="4873"/>
        </w:tabs>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C.</w:t>
      </w:r>
      <w:r>
        <w:rPr>
          <w:rFonts w:hint="eastAsia" w:ascii="宋体" w:hAnsi="宋体" w:eastAsia="宋体" w:cs="宋体"/>
          <w:color w:val="000000" w:themeColor="text1"/>
          <w:sz w:val="21"/>
          <w:szCs w:val="21"/>
          <w14:textFill>
            <w14:solidFill>
              <w14:schemeClr w14:val="tx1"/>
            </w14:solidFill>
          </w14:textFill>
        </w:rPr>
        <w:t>MCART1蛋白异常导致细胞无法产生ATP</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lang w:val="en-US" w:eastAsia="zh-CN"/>
          <w14:textFill>
            <w14:solidFill>
              <w14:schemeClr w14:val="tx1"/>
            </w14:solidFill>
          </w14:textFill>
        </w:rPr>
        <w:t>D.</w:t>
      </w:r>
      <w:r>
        <w:rPr>
          <w:rFonts w:hint="eastAsia" w:ascii="宋体" w:hAnsi="宋体" w:eastAsia="宋体" w:cs="宋体"/>
          <w:color w:val="000000" w:themeColor="text1"/>
          <w:sz w:val="21"/>
          <w:szCs w:val="21"/>
          <w14:textFill>
            <w14:solidFill>
              <w14:schemeClr w14:val="tx1"/>
            </w14:solidFill>
          </w14:textFill>
        </w:rPr>
        <w:t>NAD</w:t>
      </w:r>
      <w:r>
        <w:rPr>
          <w:rFonts w:hint="eastAsia" w:ascii="宋体" w:hAnsi="宋体" w:eastAsia="宋体" w:cs="宋体"/>
          <w:color w:val="000000" w:themeColor="text1"/>
          <w:sz w:val="21"/>
          <w:szCs w:val="21"/>
          <w:vertAlign w:val="superscript"/>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和MCART1蛋白的元素组成</w:t>
      </w:r>
      <w:r>
        <w:rPr>
          <w:rFonts w:hint="eastAsia" w:ascii="宋体" w:hAnsi="宋体" w:eastAsia="宋体" w:cs="宋体"/>
          <w:color w:val="000000" w:themeColor="text1"/>
          <w:sz w:val="21"/>
          <w:szCs w:val="21"/>
          <w:lang w:val="en-US" w:eastAsia="zh-CN"/>
          <w14:textFill>
            <w14:solidFill>
              <w14:schemeClr w14:val="tx1"/>
            </w14:solidFill>
          </w14:textFill>
        </w:rPr>
        <w:t>相</w:t>
      </w:r>
      <w:r>
        <w:rPr>
          <w:rFonts w:hint="eastAsia" w:ascii="宋体" w:hAnsi="宋体" w:eastAsia="宋体" w:cs="宋体"/>
          <w:color w:val="000000" w:themeColor="text1"/>
          <w:sz w:val="21"/>
          <w:szCs w:val="21"/>
          <w14:textFill>
            <w14:solidFill>
              <w14:schemeClr w14:val="tx1"/>
            </w14:solidFill>
          </w14:textFill>
        </w:rPr>
        <w:t>同</w:t>
      </w:r>
    </w:p>
    <w:p w14:paraId="3633F6AD">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Ca</w:t>
      </w:r>
      <w:r>
        <w:rPr>
          <w:rFonts w:hint="eastAsia" w:ascii="宋体" w:hAnsi="宋体" w:eastAsia="宋体" w:cs="宋体"/>
          <w:color w:val="000000" w:themeColor="text1"/>
          <w:sz w:val="21"/>
          <w:szCs w:val="21"/>
          <w:vertAlign w:val="superscript"/>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在维持肌肉兴奋和骨骼生长等生命活动中发挥着重要作用，血液中Ca</w:t>
      </w:r>
      <w:r>
        <w:rPr>
          <w:rFonts w:hint="eastAsia" w:ascii="宋体" w:hAnsi="宋体" w:eastAsia="宋体" w:cs="宋体"/>
          <w:color w:val="000000" w:themeColor="text1"/>
          <w:sz w:val="21"/>
          <w:szCs w:val="21"/>
          <w:vertAlign w:val="superscript"/>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含量低会出现抽搐等症状。下图是Ca</w:t>
      </w:r>
      <w:r>
        <w:rPr>
          <w:rFonts w:hint="eastAsia" w:ascii="宋体" w:hAnsi="宋体" w:eastAsia="宋体" w:cs="宋体"/>
          <w:color w:val="000000" w:themeColor="text1"/>
          <w:sz w:val="21"/>
          <w:szCs w:val="21"/>
          <w:vertAlign w:val="superscript"/>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在小肠的吸收过程。相关叙述正确的是</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w:t>
      </w:r>
    </w:p>
    <w:p w14:paraId="2A0E8660">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drawing>
          <wp:anchor distT="0" distB="0" distL="114300" distR="114300" simplePos="0" relativeHeight="251663360" behindDoc="1" locked="0" layoutInCell="1" allowOverlap="1">
            <wp:simplePos x="0" y="0"/>
            <wp:positionH relativeFrom="column">
              <wp:posOffset>2223135</wp:posOffset>
            </wp:positionH>
            <wp:positionV relativeFrom="paragraph">
              <wp:posOffset>44450</wp:posOffset>
            </wp:positionV>
            <wp:extent cx="3081020" cy="1428750"/>
            <wp:effectExtent l="0" t="0" r="5080" b="0"/>
            <wp:wrapTight wrapText="bothSides">
              <wp:wrapPolygon>
                <wp:start x="0" y="0"/>
                <wp:lineTo x="0" y="21504"/>
                <wp:lineTo x="21547" y="21504"/>
                <wp:lineTo x="21547" y="0"/>
                <wp:lineTo x="0" y="0"/>
              </wp:wrapPolygon>
            </wp:wrapTight>
            <wp:docPr id="11" name="图片 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3081020" cy="1428750"/>
                    </a:xfrm>
                    <a:prstGeom prst="rect">
                      <a:avLst/>
                    </a:prstGeom>
                    <a:noFill/>
                    <a:ln>
                      <a:noFill/>
                    </a:ln>
                  </pic:spPr>
                </pic:pic>
              </a:graphicData>
            </a:graphic>
          </wp:anchor>
        </w:drawing>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lang w:val="en-US" w:eastAsia="zh-CN"/>
          <w14:textFill>
            <w14:solidFill>
              <w14:schemeClr w14:val="tx1"/>
            </w14:solidFill>
          </w14:textFill>
        </w:rPr>
        <w:t xml:space="preserve">A. </w:t>
      </w:r>
      <w:r>
        <w:rPr>
          <w:rFonts w:hint="eastAsia" w:ascii="宋体" w:hAnsi="宋体" w:eastAsia="宋体" w:cs="宋体"/>
          <w:color w:val="000000" w:themeColor="text1"/>
          <w:sz w:val="21"/>
          <w:szCs w:val="21"/>
          <w14:textFill>
            <w14:solidFill>
              <w14:schemeClr w14:val="tx1"/>
            </w14:solidFill>
          </w14:textFill>
        </w:rPr>
        <w:t>钙在离子态下易被吸收，维生素A可促进Ca</w:t>
      </w:r>
      <w:r>
        <w:rPr>
          <w:rFonts w:hint="eastAsia" w:ascii="宋体" w:hAnsi="宋体" w:eastAsia="宋体" w:cs="宋体"/>
          <w:color w:val="000000" w:themeColor="text1"/>
          <w:sz w:val="21"/>
          <w:szCs w:val="21"/>
          <w:vertAlign w:val="superscript"/>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的吸收</w:t>
      </w:r>
    </w:p>
    <w:p w14:paraId="65A2C463">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B.</w:t>
      </w:r>
      <w:r>
        <w:rPr>
          <w:rFonts w:hint="eastAsia" w:ascii="宋体" w:hAnsi="宋体" w:eastAsia="宋体" w:cs="宋体"/>
          <w:color w:val="000000" w:themeColor="text1"/>
          <w:sz w:val="21"/>
          <w:szCs w:val="21"/>
          <w14:textFill>
            <w14:solidFill>
              <w14:schemeClr w14:val="tx1"/>
            </w14:solidFill>
          </w14:textFill>
        </w:rPr>
        <w:t xml:space="preserve"> Ca</w:t>
      </w:r>
      <w:r>
        <w:rPr>
          <w:rFonts w:hint="eastAsia" w:ascii="宋体" w:hAnsi="宋体" w:eastAsia="宋体" w:cs="宋体"/>
          <w:color w:val="000000" w:themeColor="text1"/>
          <w:sz w:val="21"/>
          <w:szCs w:val="21"/>
          <w:vertAlign w:val="superscript"/>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通过与Ca</w:t>
      </w:r>
      <w:r>
        <w:rPr>
          <w:rFonts w:hint="eastAsia" w:ascii="宋体" w:hAnsi="宋体" w:eastAsia="宋体" w:cs="宋体"/>
          <w:color w:val="000000" w:themeColor="text1"/>
          <w:sz w:val="21"/>
          <w:szCs w:val="21"/>
          <w:vertAlign w:val="superscript"/>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通道结合进入细胞的方式属于被动运输</w:t>
      </w:r>
    </w:p>
    <w:p w14:paraId="4291D75F">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 xml:space="preserve">C. </w:t>
      </w:r>
      <w:r>
        <w:rPr>
          <w:rFonts w:hint="eastAsia" w:ascii="宋体" w:hAnsi="宋体" w:eastAsia="宋体" w:cs="宋体"/>
          <w:color w:val="000000" w:themeColor="text1"/>
          <w:sz w:val="21"/>
          <w:szCs w:val="21"/>
          <w14:textFill>
            <w14:solidFill>
              <w14:schemeClr w14:val="tx1"/>
            </w14:solidFill>
          </w14:textFill>
        </w:rPr>
        <w:t>Na</w:t>
      </w:r>
      <w:r>
        <w:rPr>
          <w:rFonts w:hint="eastAsia" w:ascii="宋体" w:hAnsi="宋体" w:eastAsia="宋体" w:cs="宋体"/>
          <w:color w:val="000000" w:themeColor="text1"/>
          <w:sz w:val="21"/>
          <w:szCs w:val="21"/>
          <w:vertAlign w:val="superscript"/>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-Ca</w:t>
      </w:r>
      <w:r>
        <w:rPr>
          <w:rFonts w:hint="eastAsia" w:ascii="宋体" w:hAnsi="宋体" w:eastAsia="宋体" w:cs="宋体"/>
          <w:color w:val="000000" w:themeColor="text1"/>
          <w:sz w:val="21"/>
          <w:szCs w:val="21"/>
          <w:vertAlign w:val="superscript"/>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交换的动力来自于Na</w:t>
      </w:r>
      <w:r>
        <w:rPr>
          <w:rFonts w:hint="eastAsia" w:ascii="宋体" w:hAnsi="宋体" w:eastAsia="宋体" w:cs="宋体"/>
          <w:color w:val="000000" w:themeColor="text1"/>
          <w:sz w:val="21"/>
          <w:szCs w:val="21"/>
          <w:vertAlign w:val="superscript"/>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的浓度差，属于被动运输</w:t>
      </w:r>
    </w:p>
    <w:p w14:paraId="4781925D">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D.</w:t>
      </w:r>
      <w:r>
        <w:rPr>
          <w:rFonts w:hint="eastAsia" w:ascii="宋体" w:hAnsi="宋体" w:eastAsia="宋体" w:cs="宋体"/>
          <w:color w:val="000000" w:themeColor="text1"/>
          <w:sz w:val="21"/>
          <w:szCs w:val="21"/>
          <w14:textFill>
            <w14:solidFill>
              <w14:schemeClr w14:val="tx1"/>
            </w14:solidFill>
          </w14:textFill>
        </w:rPr>
        <w:t xml:space="preserve"> Ca</w:t>
      </w:r>
      <w:r>
        <w:rPr>
          <w:rFonts w:hint="eastAsia" w:ascii="宋体" w:hAnsi="宋体" w:eastAsia="宋体" w:cs="宋体"/>
          <w:color w:val="000000" w:themeColor="text1"/>
          <w:sz w:val="21"/>
          <w:szCs w:val="21"/>
          <w:vertAlign w:val="superscript"/>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通过Ca</w:t>
      </w:r>
      <w:r>
        <w:rPr>
          <w:rFonts w:hint="eastAsia" w:ascii="宋体" w:hAnsi="宋体" w:eastAsia="宋体" w:cs="宋体"/>
          <w:color w:val="000000" w:themeColor="text1"/>
          <w:sz w:val="21"/>
          <w:szCs w:val="21"/>
          <w:vertAlign w:val="superscript"/>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-ATP酶从基底侧膜转出细胞的方式属于主动运输</w:t>
      </w:r>
    </w:p>
    <w:p w14:paraId="0746A05C">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3.底物水平磷酸化是指物质在脱氢或脱水过程中，产生高能代谢物并直接将高能代谢物中能量转移到ADP（GDP）生成ATP（GTP）的过程，糖酵解和三羧酸循环过程中可发生底物水平磷酸化，相关叙述</w:t>
      </w:r>
      <w:r>
        <w:rPr>
          <w:rFonts w:hint="eastAsia" w:ascii="宋体" w:hAnsi="宋体" w:eastAsia="宋体" w:cs="宋体"/>
          <w:color w:val="000000" w:themeColor="text1"/>
          <w:sz w:val="21"/>
          <w:szCs w:val="21"/>
          <w:lang w:val="en-US" w:eastAsia="zh-CN"/>
          <w14:textFill>
            <w14:solidFill>
              <w14:schemeClr w14:val="tx1"/>
            </w14:solidFill>
          </w14:textFill>
        </w:rPr>
        <w:t>正确</w:t>
      </w:r>
      <w:r>
        <w:rPr>
          <w:rFonts w:hint="eastAsia" w:ascii="宋体" w:hAnsi="宋体" w:eastAsia="宋体" w:cs="宋体"/>
          <w:color w:val="000000" w:themeColor="text1"/>
          <w:sz w:val="21"/>
          <w:szCs w:val="21"/>
          <w14:textFill>
            <w14:solidFill>
              <w14:schemeClr w14:val="tx1"/>
            </w14:solidFill>
          </w14:textFill>
        </w:rPr>
        <w:t>的是</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w:t>
      </w:r>
    </w:p>
    <w:p w14:paraId="507C16B8">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 xml:space="preserve">A. </w:t>
      </w:r>
      <w:r>
        <w:rPr>
          <w:rFonts w:hint="eastAsia" w:ascii="宋体" w:hAnsi="宋体" w:eastAsia="宋体" w:cs="宋体"/>
          <w:color w:val="000000" w:themeColor="text1"/>
          <w:sz w:val="21"/>
          <w:szCs w:val="21"/>
          <w14:textFill>
            <w14:solidFill>
              <w14:schemeClr w14:val="tx1"/>
            </w14:solidFill>
          </w14:textFill>
        </w:rPr>
        <w:t>该过程的发生与细胞中的</w:t>
      </w:r>
      <w:r>
        <w:rPr>
          <w:rFonts w:hint="eastAsia" w:ascii="宋体" w:hAnsi="宋体" w:eastAsia="宋体" w:cs="宋体"/>
          <w:color w:val="000000" w:themeColor="text1"/>
          <w:sz w:val="21"/>
          <w:szCs w:val="21"/>
          <w:lang w:val="en-US" w:eastAsia="zh-CN"/>
          <w14:textFill>
            <w14:solidFill>
              <w14:schemeClr w14:val="tx1"/>
            </w14:solidFill>
          </w14:textFill>
        </w:rPr>
        <w:t>吸</w:t>
      </w:r>
      <w:r>
        <w:rPr>
          <w:rFonts w:hint="eastAsia" w:ascii="宋体" w:hAnsi="宋体" w:eastAsia="宋体" w:cs="宋体"/>
          <w:color w:val="000000" w:themeColor="text1"/>
          <w:sz w:val="21"/>
          <w:szCs w:val="21"/>
          <w14:textFill>
            <w14:solidFill>
              <w14:schemeClr w14:val="tx1"/>
            </w14:solidFill>
          </w14:textFill>
        </w:rPr>
        <w:t>能反应相关联</w:t>
      </w:r>
    </w:p>
    <w:p w14:paraId="77461716">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B. 细胞质基质和线粒体基质中可发生底物水平磷酸化</w:t>
      </w:r>
    </w:p>
    <w:p w14:paraId="7E888550">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C. 酵母菌能发生底物水平磷酸化，而乳酸菌细胞中不能发生</w:t>
      </w:r>
    </w:p>
    <w:p w14:paraId="0B77E050">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D. 该过程需</w:t>
      </w:r>
      <w:r>
        <w:rPr>
          <w:rFonts w:hint="eastAsia" w:ascii="宋体" w:hAnsi="宋体" w:eastAsia="宋体" w:cs="宋体"/>
          <w:color w:val="000000" w:themeColor="text1"/>
          <w:sz w:val="21"/>
          <w:szCs w:val="21"/>
          <w14:textFill>
            <w14:solidFill>
              <w14:schemeClr w14:val="tx1"/>
            </w14:solidFill>
          </w14:textFill>
        </w:rPr>
        <w:t>要建立跨膜质子的电化学梯度来驱动ATP的生成</w:t>
      </w:r>
    </w:p>
    <w:p w14:paraId="0AA84307">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右</w:t>
      </w:r>
      <w:r>
        <w:rPr>
          <w:rFonts w:hint="eastAsia" w:ascii="宋体" w:hAnsi="宋体" w:eastAsia="宋体" w:cs="宋体"/>
          <w:color w:val="000000" w:themeColor="text1"/>
          <w:sz w:val="21"/>
          <w:szCs w:val="21"/>
          <w14:textFill>
            <w14:solidFill>
              <w14:schemeClr w14:val="tx1"/>
            </w14:solidFill>
          </w14:textFill>
        </w:rPr>
        <w:t>图为植物的胞间连丝结构示意图，下列叙述错误的是</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w:t>
      </w:r>
    </w:p>
    <w:p w14:paraId="38E2471E">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3360" behindDoc="0" locked="0" layoutInCell="1" allowOverlap="1">
            <wp:simplePos x="0" y="0"/>
            <wp:positionH relativeFrom="column">
              <wp:posOffset>3376930</wp:posOffset>
            </wp:positionH>
            <wp:positionV relativeFrom="paragraph">
              <wp:posOffset>12065</wp:posOffset>
            </wp:positionV>
            <wp:extent cx="1828165" cy="954405"/>
            <wp:effectExtent l="0" t="0" r="635" b="10795"/>
            <wp:wrapSquare wrapText="bothSides"/>
            <wp:docPr id="2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pic:cNvPicPr>
                      <a:picLocks noChangeAspect="1"/>
                    </pic:cNvPicPr>
                  </pic:nvPicPr>
                  <pic:blipFill>
                    <a:blip r:embed="rId12"/>
                    <a:stretch>
                      <a:fillRect/>
                    </a:stretch>
                  </pic:blipFill>
                  <pic:spPr>
                    <a:xfrm>
                      <a:off x="0" y="0"/>
                      <a:ext cx="1828165" cy="954405"/>
                    </a:xfrm>
                    <a:prstGeom prst="rect">
                      <a:avLst/>
                    </a:prstGeom>
                    <a:noFill/>
                    <a:ln>
                      <a:noFill/>
                    </a:ln>
                  </pic:spPr>
                </pic:pic>
              </a:graphicData>
            </a:graphic>
          </wp:anchor>
        </w:drawing>
      </w:r>
      <w:r>
        <w:rPr>
          <w:rFonts w:hint="eastAsia" w:ascii="宋体" w:hAnsi="宋体" w:eastAsia="宋体" w:cs="宋体"/>
          <w:color w:val="000000" w:themeColor="text1"/>
          <w:sz w:val="21"/>
          <w:szCs w:val="21"/>
          <w:lang w:val="en-US" w:eastAsia="zh-CN"/>
          <w14:textFill>
            <w14:solidFill>
              <w14:schemeClr w14:val="tx1"/>
            </w14:solidFill>
          </w14:textFill>
        </w:rPr>
        <w:t>A. ①由多糖组成，其形成与高尔基体有关</w:t>
      </w:r>
    </w:p>
    <w:p w14:paraId="63FB8512">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B. ②主要由脂质和蛋白质组成，具有一定的流动性</w:t>
      </w:r>
    </w:p>
    <w:p w14:paraId="61A75920">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C. 某些植物病毒可通过胞间连丝进入到另一个细胞</w:t>
      </w:r>
    </w:p>
    <w:p w14:paraId="07152D9F">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D. 内质网参与</w:t>
      </w:r>
      <w:r>
        <w:rPr>
          <w:rFonts w:hint="eastAsia" w:ascii="宋体" w:hAnsi="宋体" w:eastAsia="宋体" w:cs="宋体"/>
          <w:color w:val="000000" w:themeColor="text1"/>
          <w:sz w:val="21"/>
          <w:szCs w:val="21"/>
          <w14:textFill>
            <w14:solidFill>
              <w14:schemeClr w14:val="tx1"/>
            </w14:solidFill>
          </w14:textFill>
        </w:rPr>
        <w:t>形成胞间连丝体现了细胞膜的信息交流功能</w:t>
      </w:r>
    </w:p>
    <w:p w14:paraId="4AC9A176">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5</w:t>
      </w:r>
      <w:r>
        <w:rPr>
          <w:rFonts w:hint="eastAsia" w:ascii="宋体" w:hAnsi="宋体" w:eastAsia="宋体" w:cs="宋体"/>
          <w:color w:val="000000" w:themeColor="text1"/>
          <w:sz w:val="21"/>
          <w:szCs w:val="21"/>
          <w14:textFill>
            <w14:solidFill>
              <w14:schemeClr w14:val="tx1"/>
            </w14:solidFill>
          </w14:textFill>
        </w:rPr>
        <w:t>.下列关于细胞生命历程的叙述，错误的是</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w:t>
      </w:r>
    </w:p>
    <w:p w14:paraId="6B547A01">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A. 哺乳动物成熟红细胞无DNA分子，仍能发生编程性死亡</w:t>
      </w:r>
    </w:p>
    <w:p w14:paraId="7B9C10DA">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B. 癌变细胞中含高表达的端粒酶，端粒酶中含有RNA</w:t>
      </w:r>
    </w:p>
    <w:p w14:paraId="1856ACAE">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C. 甲基化修饰通过改变碱基序列从而影响基因的选择性表达，可实现细胞分化</w:t>
      </w:r>
    </w:p>
    <w:p w14:paraId="7E77B4A0">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D.细胞坏死是</w:t>
      </w:r>
      <w:r>
        <w:rPr>
          <w:rFonts w:hint="eastAsia" w:ascii="宋体" w:hAnsi="宋体" w:eastAsia="宋体" w:cs="宋体"/>
          <w:color w:val="000000" w:themeColor="text1"/>
          <w:sz w:val="21"/>
          <w:szCs w:val="21"/>
          <w14:textFill>
            <w14:solidFill>
              <w14:schemeClr w14:val="tx1"/>
            </w14:solidFill>
          </w14:textFill>
        </w:rPr>
        <w:t>细胞受到强烈理化或生物因素作用引起细胞无序变化的死亡过程</w:t>
      </w:r>
      <w:r>
        <w:rPr>
          <w:rFonts w:hint="eastAsia" w:ascii="宋体" w:hAnsi="宋体" w:eastAsia="宋体" w:cs="宋体"/>
          <w:color w:val="000000" w:themeColor="text1"/>
          <w:sz w:val="21"/>
          <w:szCs w:val="21"/>
          <w:lang w:val="en-US" w:eastAsia="zh-CN"/>
          <w14:textFill>
            <w14:solidFill>
              <w14:schemeClr w14:val="tx1"/>
            </w14:solidFill>
          </w14:textFill>
        </w:rPr>
        <w:t>,会</w:t>
      </w:r>
      <w:r>
        <w:rPr>
          <w:rFonts w:hint="eastAsia" w:ascii="宋体" w:hAnsi="宋体" w:eastAsia="宋体" w:cs="宋体"/>
          <w:color w:val="000000" w:themeColor="text1"/>
          <w:sz w:val="21"/>
          <w:szCs w:val="21"/>
          <w14:textFill>
            <w14:solidFill>
              <w14:schemeClr w14:val="tx1"/>
            </w14:solidFill>
          </w14:textFill>
        </w:rPr>
        <w:t>引起局部严重的炎症反应</w:t>
      </w:r>
    </w:p>
    <w:p w14:paraId="3F64FE85">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.下列关于遗传科学史</w:t>
      </w:r>
      <w:r>
        <w:rPr>
          <w:rFonts w:hint="eastAsia" w:ascii="宋体" w:hAnsi="宋体" w:eastAsia="宋体" w:cs="宋体"/>
          <w:color w:val="000000" w:themeColor="text1"/>
          <w:position w:val="0"/>
          <w:sz w:val="21"/>
          <w:szCs w:val="21"/>
          <w14:textFill>
            <w14:solidFill>
              <w14:schemeClr w14:val="tx1"/>
            </w14:solidFill>
          </w14:textFill>
        </w:rPr>
        <w:drawing>
          <wp:inline distT="0" distB="0" distL="114300" distR="114300">
            <wp:extent cx="133350" cy="177165"/>
            <wp:effectExtent l="0" t="0" r="635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3"/>
                    <a:stretch>
                      <a:fillRect/>
                    </a:stretch>
                  </pic:blipFill>
                  <pic:spPr>
                    <a:xfrm>
                      <a:off x="0" y="0"/>
                      <a:ext cx="133350" cy="177165"/>
                    </a:xfrm>
                    <a:prstGeom prst="rect">
                      <a:avLst/>
                    </a:prstGeom>
                    <a:noFill/>
                    <a:ln>
                      <a:noFill/>
                    </a:ln>
                  </pic:spPr>
                </pic:pic>
              </a:graphicData>
            </a:graphic>
          </wp:inline>
        </w:drawing>
      </w:r>
      <w:r>
        <w:rPr>
          <w:rFonts w:hint="eastAsia" w:ascii="宋体" w:hAnsi="宋体" w:eastAsia="宋体" w:cs="宋体"/>
          <w:color w:val="000000" w:themeColor="text1"/>
          <w:sz w:val="21"/>
          <w:szCs w:val="21"/>
          <w14:textFill>
            <w14:solidFill>
              <w14:schemeClr w14:val="tx1"/>
            </w14:solidFill>
          </w14:textFill>
        </w:rPr>
        <w:t>叙述，正确的是</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w:t>
      </w:r>
    </w:p>
    <w:p w14:paraId="392DF9EB">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A. 艾弗里的肺炎链球菌体外转化实验中，对自变量的控制遵循了“加法原理”</w:t>
      </w:r>
    </w:p>
    <w:p w14:paraId="4DF3D7D9">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B. 沃森和克里克提出DNA双螺旋结构模型，运用了模型构建法</w:t>
      </w:r>
    </w:p>
    <w:p w14:paraId="41845F5B">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C. 赫尔希和蔡斯的噬菌体侵染实验中，用玻棒搅拌以促进噬菌体外壳与细菌充分接触</w:t>
      </w:r>
    </w:p>
    <w:p w14:paraId="5288A16C">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D.梅塞尔</w:t>
      </w:r>
      <w:r>
        <w:rPr>
          <w:rFonts w:hint="eastAsia" w:ascii="宋体" w:hAnsi="宋体" w:eastAsia="宋体" w:cs="宋体"/>
          <w:color w:val="000000" w:themeColor="text1"/>
          <w:sz w:val="21"/>
          <w:szCs w:val="21"/>
          <w14:textFill>
            <w14:solidFill>
              <w14:schemeClr w14:val="tx1"/>
            </w14:solidFill>
          </w14:textFill>
        </w:rPr>
        <w:t>森和斯塔尔证明DNA的复制方式，采用了放射性同位素标记和差速离心等技术</w:t>
      </w:r>
    </w:p>
    <w:p w14:paraId="645F1335">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7</w:t>
      </w:r>
      <w:r>
        <w:rPr>
          <w:rFonts w:hint="eastAsia" w:ascii="宋体" w:hAnsi="宋体" w:eastAsia="宋体" w:cs="宋体"/>
          <w:color w:val="000000" w:themeColor="text1"/>
          <w:sz w:val="21"/>
          <w:szCs w:val="21"/>
          <w14:textFill>
            <w14:solidFill>
              <w14:schemeClr w14:val="tx1"/>
            </w14:solidFill>
          </w14:textFill>
        </w:rPr>
        <w:t>.E基因位于人类第21号染色体上，该基因共有E1、E2、E3和E4四种等位基因。有一名唐氏综合征患者的基因型为E1E2E3，其母亲的基因型是E1E3，父亲的基因型是E2E4，则造成该患者异常最可能的原因是</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w:t>
      </w:r>
    </w:p>
    <w:p w14:paraId="24D4293E">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 xml:space="preserve">A. 受精卵发育过程中有丝分裂异常    </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lang w:val="en-US" w:eastAsia="zh-CN"/>
          <w14:textFill>
            <w14:solidFill>
              <w14:schemeClr w14:val="tx1"/>
            </w14:solidFill>
          </w14:textFill>
        </w:rPr>
        <w:t>B. 精子形成过程中减数分裂I异常</w:t>
      </w:r>
    </w:p>
    <w:p w14:paraId="6B000D54">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C. 卵</w:t>
      </w:r>
      <w:r>
        <w:rPr>
          <w:rFonts w:hint="eastAsia" w:ascii="宋体" w:hAnsi="宋体" w:eastAsia="宋体" w:cs="宋体"/>
          <w:color w:val="000000" w:themeColor="text1"/>
          <w:sz w:val="21"/>
          <w:szCs w:val="21"/>
          <w14:textFill>
            <w14:solidFill>
              <w14:schemeClr w14:val="tx1"/>
            </w14:solidFill>
          </w14:textFill>
        </w:rPr>
        <w:t>细胞形成过程中减数分裂I异常</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lang w:val="en-US" w:eastAsia="zh-CN"/>
          <w14:textFill>
            <w14:solidFill>
              <w14:schemeClr w14:val="tx1"/>
            </w14:solidFill>
          </w14:textFill>
        </w:rPr>
        <w:t>D.</w:t>
      </w:r>
      <w:r>
        <w:rPr>
          <w:rFonts w:hint="eastAsia" w:ascii="宋体" w:hAnsi="宋体" w:eastAsia="宋体" w:cs="宋体"/>
          <w:color w:val="000000" w:themeColor="text1"/>
          <w:sz w:val="21"/>
          <w:szCs w:val="21"/>
          <w14:textFill>
            <w14:solidFill>
              <w14:schemeClr w14:val="tx1"/>
            </w14:solidFill>
          </w14:textFill>
        </w:rPr>
        <w:t xml:space="preserve"> 受精卵中发生染色体结构上的倒位</w:t>
      </w:r>
    </w:p>
    <w:p w14:paraId="5E1F8875">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8</w:t>
      </w:r>
      <w:r>
        <w:rPr>
          <w:rFonts w:hint="eastAsia" w:ascii="宋体" w:hAnsi="宋体" w:eastAsia="宋体" w:cs="宋体"/>
          <w:color w:val="000000" w:themeColor="text1"/>
          <w:sz w:val="21"/>
          <w:szCs w:val="21"/>
          <w14:textFill>
            <w14:solidFill>
              <w14:schemeClr w14:val="tx1"/>
            </w14:solidFill>
          </w14:textFill>
        </w:rPr>
        <w:t>.2023年4月杭州亚运会，女子举重比赛中机体生理功能调节的叙述，合理的是</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w:t>
      </w:r>
    </w:p>
    <w:p w14:paraId="32147190">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A. 神经系统对躯体运动有调控，对内脏活动无调控</w:t>
      </w:r>
    </w:p>
    <w:p w14:paraId="0BCFE17A">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B. 比赛过程中，运动员机体的产热量大于散热量</w:t>
      </w:r>
    </w:p>
    <w:p w14:paraId="1E477B03">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C. 交感神经兴奋，使心跳加快、支气管扩张</w:t>
      </w:r>
    </w:p>
    <w:p w14:paraId="1C3E2C7E">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D. 下丘脑－</w:t>
      </w:r>
      <w:r>
        <w:rPr>
          <w:rFonts w:hint="eastAsia" w:ascii="宋体" w:hAnsi="宋体" w:eastAsia="宋体" w:cs="宋体"/>
          <w:color w:val="000000" w:themeColor="text1"/>
          <w:sz w:val="21"/>
          <w:szCs w:val="21"/>
          <w14:textFill>
            <w14:solidFill>
              <w14:schemeClr w14:val="tx1"/>
            </w14:solidFill>
          </w14:textFill>
        </w:rPr>
        <w:t>垂体－靶腺轴兴奋，促进</w:t>
      </w:r>
      <w:r>
        <w:rPr>
          <w:rFonts w:hint="eastAsia" w:ascii="宋体" w:hAnsi="宋体" w:eastAsia="宋体" w:cs="宋体"/>
          <w:color w:val="000000" w:themeColor="text1"/>
          <w:sz w:val="21"/>
          <w:szCs w:val="21"/>
          <w:lang w:val="en-US" w:eastAsia="zh-CN"/>
          <w14:textFill>
            <w14:solidFill>
              <w14:schemeClr w14:val="tx1"/>
            </w14:solidFill>
          </w14:textFill>
        </w:rPr>
        <w:t>肾上腺素</w:t>
      </w:r>
      <w:r>
        <w:rPr>
          <w:rFonts w:hint="eastAsia" w:ascii="宋体" w:hAnsi="宋体" w:eastAsia="宋体" w:cs="宋体"/>
          <w:color w:val="000000" w:themeColor="text1"/>
          <w:sz w:val="21"/>
          <w:szCs w:val="21"/>
          <w14:textFill>
            <w14:solidFill>
              <w14:schemeClr w14:val="tx1"/>
            </w14:solidFill>
          </w14:textFill>
        </w:rPr>
        <w:t>的分泌，提高代谢速率</w:t>
      </w:r>
    </w:p>
    <w:p w14:paraId="7A2C575D">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9</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科学家以拟南芥为材料研究 GR24（一种植物激素）对侧枝生长发育的影响，结果如图1；研究NAA和GR24对野生型植株的影响，结果如图2。下列叙述错误的是</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w:t>
      </w:r>
    </w:p>
    <w:p w14:paraId="318C1DA8">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drawing>
          <wp:inline distT="0" distB="0" distL="114300" distR="114300">
            <wp:extent cx="5238750" cy="1696720"/>
            <wp:effectExtent l="0" t="0" r="6350" b="5080"/>
            <wp:docPr id="12" name="图片 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5238750" cy="1696720"/>
                    </a:xfrm>
                    <a:prstGeom prst="rect">
                      <a:avLst/>
                    </a:prstGeom>
                    <a:noFill/>
                    <a:ln>
                      <a:noFill/>
                    </a:ln>
                  </pic:spPr>
                </pic:pic>
              </a:graphicData>
            </a:graphic>
          </wp:inline>
        </w:drawing>
      </w:r>
    </w:p>
    <w:p w14:paraId="560ABB2B">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A. 植物生长发育的调控，是由基因表达调控、激素调节和环境因素调节共同完成</w:t>
      </w:r>
    </w:p>
    <w:p w14:paraId="4FAE602F">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B. NAA是一类生理效应与生长素类似的植物生长调节剂</w:t>
      </w:r>
    </w:p>
    <w:p w14:paraId="5FE2EA55">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C. GR24的作用机理可能是通过促进NAA的作用来抑制侧枝生长</w:t>
      </w:r>
    </w:p>
    <w:p w14:paraId="3D0EB2A9">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D. GR24对突</w:t>
      </w:r>
      <w:r>
        <w:rPr>
          <w:rFonts w:hint="eastAsia" w:ascii="宋体" w:hAnsi="宋体" w:eastAsia="宋体" w:cs="宋体"/>
          <w:color w:val="000000" w:themeColor="text1"/>
          <w:sz w:val="21"/>
          <w:szCs w:val="21"/>
          <w14:textFill>
            <w14:solidFill>
              <w14:schemeClr w14:val="tx1"/>
            </w14:solidFill>
          </w14:textFill>
        </w:rPr>
        <w:t>变植株侧枝生长作用不明显的原因可能是GR24合成缺陷</w:t>
      </w:r>
    </w:p>
    <w:p w14:paraId="64287EF0">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drawing>
          <wp:anchor distT="0" distB="0" distL="114300" distR="114300" simplePos="0" relativeHeight="251664384" behindDoc="0" locked="0" layoutInCell="1" allowOverlap="1">
            <wp:simplePos x="0" y="0"/>
            <wp:positionH relativeFrom="column">
              <wp:posOffset>2976245</wp:posOffset>
            </wp:positionH>
            <wp:positionV relativeFrom="paragraph">
              <wp:posOffset>73025</wp:posOffset>
            </wp:positionV>
            <wp:extent cx="2311400" cy="1795145"/>
            <wp:effectExtent l="0" t="0" r="0" b="8255"/>
            <wp:wrapSquare wrapText="bothSides"/>
            <wp:docPr id="13" name="图片 100045" descr="@@@04d7d2bf76ac49b4844134943e630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0045" descr="@@@04d7d2bf76ac49b4844134943e630479"/>
                    <pic:cNvPicPr>
                      <a:picLocks noChangeAspect="1"/>
                    </pic:cNvPicPr>
                  </pic:nvPicPr>
                  <pic:blipFill>
                    <a:blip r:embed="rId15"/>
                    <a:stretch>
                      <a:fillRect/>
                    </a:stretch>
                  </pic:blipFill>
                  <pic:spPr>
                    <a:xfrm>
                      <a:off x="0" y="0"/>
                      <a:ext cx="2311400" cy="1795145"/>
                    </a:xfrm>
                    <a:prstGeom prst="rect">
                      <a:avLst/>
                    </a:prstGeom>
                    <a:noFill/>
                    <a:ln>
                      <a:noFill/>
                    </a:ln>
                  </pic:spPr>
                </pic:pic>
              </a:graphicData>
            </a:graphic>
          </wp:anchor>
        </w:drawing>
      </w:r>
      <w:r>
        <w:rPr>
          <w:rFonts w:hint="eastAsia" w:ascii="宋体" w:hAnsi="宋体" w:eastAsia="宋体" w:cs="宋体"/>
          <w:color w:val="000000" w:themeColor="text1"/>
          <w:sz w:val="21"/>
          <w:szCs w:val="21"/>
          <w14:textFill>
            <w14:solidFill>
              <w14:schemeClr w14:val="tx1"/>
            </w14:solidFill>
          </w14:textFill>
        </w:rPr>
        <w:t>1</w:t>
      </w:r>
      <w:r>
        <w:rPr>
          <w:rFonts w:hint="eastAsia" w:ascii="宋体" w:hAnsi="宋体" w:cs="宋体"/>
          <w:color w:val="000000" w:themeColor="text1"/>
          <w:sz w:val="21"/>
          <w:szCs w:val="21"/>
          <w:lang w:val="en-US" w:eastAsia="zh-CN"/>
          <w14:textFill>
            <w14:solidFill>
              <w14:schemeClr w14:val="tx1"/>
            </w14:solidFill>
          </w14:textFill>
        </w:rPr>
        <w:t>0</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氮在自然界中以多种形式存在，氮循环是生态系统物质循环的重要组成部分，</w:t>
      </w:r>
      <w:r>
        <w:rPr>
          <w:rFonts w:hint="eastAsia" w:ascii="宋体" w:hAnsi="宋体" w:eastAsia="宋体" w:cs="宋体"/>
          <w:color w:val="000000" w:themeColor="text1"/>
          <w:sz w:val="21"/>
          <w:szCs w:val="21"/>
          <w:lang w:val="en-US" w:eastAsia="zh-CN"/>
          <w14:textFill>
            <w14:solidFill>
              <w14:schemeClr w14:val="tx1"/>
            </w14:solidFill>
          </w14:textFill>
        </w:rPr>
        <w:t>右</w:t>
      </w:r>
      <w:r>
        <w:rPr>
          <w:rFonts w:hint="eastAsia" w:ascii="宋体" w:hAnsi="宋体" w:eastAsia="宋体" w:cs="宋体"/>
          <w:color w:val="000000" w:themeColor="text1"/>
          <w:sz w:val="21"/>
          <w:szCs w:val="21"/>
          <w14:textFill>
            <w14:solidFill>
              <w14:schemeClr w14:val="tx1"/>
            </w14:solidFill>
          </w14:textFill>
        </w:rPr>
        <w:t>图所示为氮循环部分过程。下列叙述错误的是</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w:t>
      </w:r>
    </w:p>
    <w:p w14:paraId="4703C7CF">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A．氮元素在农田生态系统中能够循环往复利用</w:t>
      </w:r>
    </w:p>
    <w:p w14:paraId="6D316715">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B．硝化作用主要由生产者完成，同时伴随着能量流动</w:t>
      </w:r>
    </w:p>
    <w:p w14:paraId="03DD85CC">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C．参与生物固氮过程的生物可以是消费者，也可以是分解者</w:t>
      </w:r>
    </w:p>
    <w:p w14:paraId="44D867C6">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D．无机氮进</w:t>
      </w:r>
      <w:r>
        <w:rPr>
          <w:rFonts w:hint="eastAsia" w:ascii="宋体" w:hAnsi="宋体" w:eastAsia="宋体" w:cs="宋体"/>
          <w:color w:val="000000" w:themeColor="text1"/>
          <w:sz w:val="21"/>
          <w:szCs w:val="21"/>
          <w14:textFill>
            <w14:solidFill>
              <w14:schemeClr w14:val="tx1"/>
            </w14:solidFill>
          </w14:textFill>
        </w:rPr>
        <w:t>入生物群落的途径有生物固氮作用和植物根系吸收</w:t>
      </w:r>
    </w:p>
    <w:p w14:paraId="732A30C3">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基因渐渗是物种之间进行基因交流的现象。捻角山羊是巴基斯坦的“国宝”，适合在高海拔的极端环境生存。山羊大约3000~5000年前才迁徙至青藏高原，通过与捻角山羊的杂交以及后代与亲代的反复回交，将捻角山羊的部分基因转移和整合到山羊中，最终形成了我国的西藏山羊。下列说法</w:t>
      </w:r>
      <w:r>
        <w:rPr>
          <w:rFonts w:hint="eastAsia" w:ascii="宋体" w:hAnsi="宋体" w:eastAsia="宋体" w:cs="宋体"/>
          <w:color w:val="000000" w:themeColor="text1"/>
          <w:sz w:val="21"/>
          <w:szCs w:val="21"/>
          <w:lang w:val="en-US" w:eastAsia="zh-CN"/>
          <w14:textFill>
            <w14:solidFill>
              <w14:schemeClr w14:val="tx1"/>
            </w14:solidFill>
          </w14:textFill>
        </w:rPr>
        <w:t>错误</w:t>
      </w:r>
      <w:r>
        <w:rPr>
          <w:rFonts w:hint="eastAsia" w:ascii="宋体" w:hAnsi="宋体" w:eastAsia="宋体" w:cs="宋体"/>
          <w:color w:val="000000" w:themeColor="text1"/>
          <w:sz w:val="21"/>
          <w:szCs w:val="21"/>
          <w14:textFill>
            <w14:solidFill>
              <w14:schemeClr w14:val="tx1"/>
            </w14:solidFill>
          </w14:textFill>
        </w:rPr>
        <w:t>的是</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w:t>
      </w:r>
    </w:p>
    <w:p w14:paraId="4F044E7A">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A．基因渐渗现象可能会使得生物进化的速度加快</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lang w:val="en-US" w:eastAsia="zh-CN"/>
          <w14:textFill>
            <w14:solidFill>
              <w14:schemeClr w14:val="tx1"/>
            </w14:solidFill>
          </w14:textFill>
        </w:rPr>
        <w:t>B．基因渐渗可能打破生殖隔离现象</w:t>
      </w:r>
    </w:p>
    <w:p w14:paraId="436FEE72">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C．我国西藏山羊通过基因渐渗主动适应了青藏高原的严酷生态环境</w:t>
      </w:r>
    </w:p>
    <w:p w14:paraId="4FB7B077">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D．可以通</w:t>
      </w:r>
      <w:r>
        <w:rPr>
          <w:rFonts w:hint="eastAsia" w:ascii="宋体" w:hAnsi="宋体" w:eastAsia="宋体" w:cs="宋体"/>
          <w:color w:val="000000" w:themeColor="text1"/>
          <w:sz w:val="21"/>
          <w:szCs w:val="21"/>
          <w14:textFill>
            <w14:solidFill>
              <w14:schemeClr w14:val="tx1"/>
            </w14:solidFill>
          </w14:textFill>
        </w:rPr>
        <w:t>过对亲本物种和基因渐渗的后代进行基因组测序来验证这一现象</w:t>
      </w:r>
    </w:p>
    <w:p w14:paraId="3E2317F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r>
        <w:rPr>
          <w:rFonts w:hint="eastAsia" w:ascii="宋体" w:hAnsi="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.某醋厂和啤酒厂的工艺流程如图所示。酒曲含有霉菌、酵母菌、乳酸菌；醋醅含有醋酸菌；糖化即淀粉水解过程。下列相关叙述</w:t>
      </w:r>
      <w:r>
        <w:rPr>
          <w:rFonts w:hint="eastAsia" w:ascii="宋体" w:hAnsi="宋体" w:eastAsia="宋体" w:cs="宋体"/>
          <w:color w:val="000000" w:themeColor="text1"/>
          <w:sz w:val="21"/>
          <w:szCs w:val="21"/>
          <w:lang w:val="en-US" w:eastAsia="zh-CN"/>
          <w14:textFill>
            <w14:solidFill>
              <w14:schemeClr w14:val="tx1"/>
            </w14:solidFill>
          </w14:textFill>
        </w:rPr>
        <w:t>错误</w:t>
      </w:r>
      <w:r>
        <w:rPr>
          <w:rFonts w:hint="eastAsia" w:ascii="宋体" w:hAnsi="宋体" w:eastAsia="宋体" w:cs="宋体"/>
          <w:color w:val="000000" w:themeColor="text1"/>
          <w:sz w:val="21"/>
          <w:szCs w:val="21"/>
          <w14:textFill>
            <w14:solidFill>
              <w14:schemeClr w14:val="tx1"/>
            </w14:solidFill>
          </w14:textFill>
        </w:rPr>
        <w:t>的有</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w:t>
      </w:r>
    </w:p>
    <w:p w14:paraId="74E02659">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trike w:val="0"/>
          <w:color w:val="000000" w:themeColor="text1"/>
          <w:kern w:val="0"/>
          <w:sz w:val="21"/>
          <w:szCs w:val="21"/>
          <w:u w:val="none"/>
          <w14:textFill>
            <w14:solidFill>
              <w14:schemeClr w14:val="tx1"/>
            </w14:solidFill>
          </w14:textFill>
        </w:rPr>
        <w:drawing>
          <wp:inline distT="0" distB="0" distL="114300" distR="114300">
            <wp:extent cx="5003165" cy="1523365"/>
            <wp:effectExtent l="0" t="0" r="635" b="635"/>
            <wp:docPr id="10" name="图片 4" descr="@@@71c25d3b-030c-45ea-8856-ba01dc983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71c25d3b-030c-45ea-8856-ba01dc983f03"/>
                    <pic:cNvPicPr>
                      <a:picLocks noChangeAspect="1"/>
                    </pic:cNvPicPr>
                  </pic:nvPicPr>
                  <pic:blipFill>
                    <a:blip r:embed="rId16"/>
                    <a:stretch>
                      <a:fillRect/>
                    </a:stretch>
                  </pic:blipFill>
                  <pic:spPr>
                    <a:xfrm>
                      <a:off x="0" y="0"/>
                      <a:ext cx="5003165" cy="1523365"/>
                    </a:xfrm>
                    <a:prstGeom prst="rect">
                      <a:avLst/>
                    </a:prstGeom>
                    <a:noFill/>
                    <a:ln>
                      <a:noFill/>
                    </a:ln>
                  </pic:spPr>
                </pic:pic>
              </a:graphicData>
            </a:graphic>
          </wp:inline>
        </w:drawing>
      </w:r>
    </w:p>
    <w:p w14:paraId="3C450279">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A．糯米“蒸熟”与大米“蒸煮”的目的是利于糖化和灭菌</w:t>
      </w:r>
    </w:p>
    <w:p w14:paraId="34352C23">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B．发酵原理是利用真菌的无氧呼吸与细菌的有氧呼吸</w:t>
      </w:r>
    </w:p>
    <w:p w14:paraId="30DFE731">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C．啤酒酿造流程中适当增加溶解氧可缩短发酵时间</w:t>
      </w:r>
    </w:p>
    <w:p w14:paraId="7BC4EDFE">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D．醋酸发酵过程</w:t>
      </w:r>
      <w:r>
        <w:rPr>
          <w:rFonts w:hint="eastAsia" w:ascii="宋体" w:hAnsi="宋体" w:eastAsia="宋体" w:cs="宋体"/>
          <w:color w:val="000000" w:themeColor="text1"/>
          <w:sz w:val="21"/>
          <w:szCs w:val="21"/>
          <w14:textFill>
            <w14:solidFill>
              <w14:schemeClr w14:val="tx1"/>
            </w14:solidFill>
          </w14:textFill>
        </w:rPr>
        <w:t>中经常翻动发酵物，可控制发酵温度和改善通气状况</w:t>
      </w:r>
    </w:p>
    <w:p w14:paraId="371CC26F">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r>
        <w:rPr>
          <w:rFonts w:hint="eastAsia" w:ascii="宋体" w:hAnsi="宋体" w:cs="宋体"/>
          <w:color w:val="000000" w:themeColor="text1"/>
          <w:sz w:val="21"/>
          <w:szCs w:val="21"/>
          <w:lang w:val="en-US" w:eastAsia="zh-CN"/>
          <w14:textFill>
            <w14:solidFill>
              <w14:schemeClr w14:val="tx1"/>
            </w14:solidFill>
          </w14:textFill>
        </w:rPr>
        <w:t>3</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2022年3月7日，上海交通大学医学院某研究团队利用基因编辑技术，对小鼠卵母细胞的7个甲基化印记控制区域进行DNA甲基化重写，并将一个极体注入修饰后的次级卵母细胞中，成功创造了孤雌生殖的小鼠。下列叙述</w:t>
      </w:r>
      <w:r>
        <w:rPr>
          <w:rFonts w:hint="eastAsia" w:ascii="宋体" w:hAnsi="宋体" w:eastAsia="宋体" w:cs="宋体"/>
          <w:color w:val="000000" w:themeColor="text1"/>
          <w:sz w:val="21"/>
          <w:szCs w:val="21"/>
          <w:lang w:val="en-US" w:eastAsia="zh-CN"/>
          <w14:textFill>
            <w14:solidFill>
              <w14:schemeClr w14:val="tx1"/>
            </w14:solidFill>
          </w14:textFill>
        </w:rPr>
        <w:t>错误</w:t>
      </w:r>
      <w:r>
        <w:rPr>
          <w:rFonts w:hint="eastAsia" w:ascii="宋体" w:hAnsi="宋体" w:eastAsia="宋体" w:cs="宋体"/>
          <w:color w:val="000000" w:themeColor="text1"/>
          <w:sz w:val="21"/>
          <w:szCs w:val="21"/>
          <w14:textFill>
            <w14:solidFill>
              <w14:schemeClr w14:val="tx1"/>
            </w14:solidFill>
          </w14:textFill>
        </w:rPr>
        <w:t>的</w:t>
      </w:r>
      <w:r>
        <w:rPr>
          <w:rFonts w:hint="eastAsia" w:ascii="宋体" w:hAnsi="宋体" w:eastAsia="宋体" w:cs="宋体"/>
          <w:color w:val="000000" w:themeColor="text1"/>
          <w:sz w:val="21"/>
          <w:szCs w:val="21"/>
          <w:lang w:val="en-US" w:eastAsia="zh-CN"/>
          <w14:textFill>
            <w14:solidFill>
              <w14:schemeClr w14:val="tx1"/>
            </w14:solidFill>
          </w14:textFill>
        </w:rPr>
        <w:t xml:space="preserve">是  </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w:t>
      </w:r>
    </w:p>
    <w:p w14:paraId="0D0D137A">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drawing>
          <wp:inline distT="0" distB="0" distL="114300" distR="114300">
            <wp:extent cx="4291965" cy="911225"/>
            <wp:effectExtent l="0" t="0" r="635" b="3175"/>
            <wp:docPr id="7" name="图片 5" descr="@@@dccb39fc-e778-4583-8a4e-b22c99e816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dccb39fc-e778-4583-8a4e-b22c99e816e2"/>
                    <pic:cNvPicPr>
                      <a:picLocks noChangeAspect="1"/>
                    </pic:cNvPicPr>
                  </pic:nvPicPr>
                  <pic:blipFill>
                    <a:blip r:embed="rId17"/>
                    <a:stretch>
                      <a:fillRect/>
                    </a:stretch>
                  </pic:blipFill>
                  <pic:spPr>
                    <a:xfrm>
                      <a:off x="0" y="0"/>
                      <a:ext cx="4291965" cy="911225"/>
                    </a:xfrm>
                    <a:prstGeom prst="rect">
                      <a:avLst/>
                    </a:prstGeom>
                    <a:noFill/>
                    <a:ln>
                      <a:noFill/>
                    </a:ln>
                  </pic:spPr>
                </pic:pic>
              </a:graphicData>
            </a:graphic>
          </wp:inline>
        </w:drawing>
      </w:r>
    </w:p>
    <w:p w14:paraId="077FE0E2">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A．上述甲基化重写没有改变小鼠体内的遗传信息</w:t>
      </w:r>
    </w:p>
    <w:p w14:paraId="27153EEC">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B．体外培养卵母细胞，为防止污染需在培养基中加入抗生素</w:t>
      </w:r>
    </w:p>
    <w:p w14:paraId="67DC55D9">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C．移植后的囊胚进一步扩大，会导致滋养层破裂，胚胎从其中伸展出来</w:t>
      </w:r>
    </w:p>
    <w:p w14:paraId="6E496180">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D．孤雌</w:t>
      </w:r>
      <w:r>
        <w:rPr>
          <w:rFonts w:hint="eastAsia" w:ascii="宋体" w:hAnsi="宋体" w:eastAsia="宋体" w:cs="宋体"/>
          <w:color w:val="000000" w:themeColor="text1"/>
          <w:sz w:val="21"/>
          <w:szCs w:val="21"/>
          <w14:textFill>
            <w14:solidFill>
              <w14:schemeClr w14:val="tx1"/>
            </w14:solidFill>
          </w14:textFill>
        </w:rPr>
        <w:t>小鼠的诞生过程没有精子参与，</w:t>
      </w:r>
      <w:r>
        <w:rPr>
          <w:rFonts w:hint="eastAsia" w:ascii="宋体" w:hAnsi="宋体" w:eastAsia="宋体" w:cs="宋体"/>
          <w:color w:val="000000" w:themeColor="text1"/>
          <w:sz w:val="21"/>
          <w:szCs w:val="21"/>
          <w:lang w:val="en-US" w:eastAsia="zh-CN"/>
          <w14:textFill>
            <w14:solidFill>
              <w14:schemeClr w14:val="tx1"/>
            </w14:solidFill>
          </w14:textFill>
        </w:rPr>
        <w:t>但</w:t>
      </w:r>
      <w:r>
        <w:rPr>
          <w:rFonts w:hint="eastAsia" w:ascii="宋体" w:hAnsi="宋体" w:eastAsia="宋体" w:cs="宋体"/>
          <w:color w:val="000000" w:themeColor="text1"/>
          <w:sz w:val="21"/>
          <w:szCs w:val="21"/>
          <w14:textFill>
            <w14:solidFill>
              <w14:schemeClr w14:val="tx1"/>
            </w14:solidFill>
          </w14:textFill>
        </w:rPr>
        <w:t>其基因型不一定与提供卵母细胞的雌鼠相同</w:t>
      </w:r>
    </w:p>
    <w:p w14:paraId="51F07D8E">
      <w:pPr>
        <w:shd w:val="clear" w:color="auto" w:fill="FFFFFF"/>
        <w:spacing w:line="240" w:lineRule="auto"/>
        <w:jc w:val="left"/>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w:t>
      </w:r>
      <w:r>
        <w:rPr>
          <w:rFonts w:hint="eastAsia" w:ascii="宋体" w:hAnsi="宋体" w:cs="宋体"/>
          <w:color w:val="000000" w:themeColor="text1"/>
          <w:lang w:val="en-US" w:eastAsia="zh-CN"/>
          <w14:textFill>
            <w14:solidFill>
              <w14:schemeClr w14:val="tx1"/>
            </w14:solidFill>
          </w14:textFill>
        </w:rPr>
        <w:t>4.</w:t>
      </w:r>
      <w:r>
        <w:rPr>
          <w:rFonts w:hint="eastAsia" w:ascii="宋体" w:hAnsi="宋体" w:eastAsia="宋体" w:cs="宋体"/>
          <w:color w:val="000000" w:themeColor="text1"/>
          <w14:textFill>
            <w14:solidFill>
              <w14:schemeClr w14:val="tx1"/>
            </w14:solidFill>
          </w14:textFill>
        </w:rPr>
        <w:t>滥用抗生素会导致“超级细菌”（对多种抗生素有高耐药性）的产生。某实验小组研究细菌产生青霉素抗性与青霉素之间的关系，过程及结果如下图。下列叙述正确的是</w:t>
      </w:r>
      <w:r>
        <w:rPr>
          <w:rFonts w:hint="eastAsia" w:ascii="宋体" w:hAnsi="宋体" w:cs="宋体"/>
          <w:color w:val="000000" w:themeColor="text1"/>
          <w:lang w:val="en-US" w:eastAsia="zh-CN"/>
          <w14:textFill>
            <w14:solidFill>
              <w14:schemeClr w14:val="tx1"/>
            </w14:solidFill>
          </w14:textFill>
        </w:rPr>
        <w:t xml:space="preserve">  </w:t>
      </w: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000000" w:themeColor="text1"/>
          <w:kern w:val="0"/>
          <w:sz w:val="24"/>
          <w:lang w:val="en-US" w:eastAsia="zh-CN"/>
          <w14:textFill>
            <w14:solidFill>
              <w14:schemeClr w14:val="tx1"/>
            </w14:solidFill>
          </w14:textFill>
        </w:rPr>
        <w:t xml:space="preserve"> </w:t>
      </w:r>
      <w:r>
        <w:rPr>
          <w:rFonts w:hint="eastAsia" w:ascii="宋体" w:hAnsi="宋体" w:cs="宋体"/>
          <w:color w:val="000000" w:themeColor="text1"/>
          <w:kern w:val="0"/>
          <w:sz w:val="24"/>
          <w:lang w:val="en-US" w:eastAsia="zh-CN"/>
          <w14:textFill>
            <w14:solidFill>
              <w14:schemeClr w14:val="tx1"/>
            </w14:solidFill>
          </w14:textFill>
        </w:rPr>
        <w:t xml:space="preserve"> </w:t>
      </w:r>
      <w:r>
        <w:rPr>
          <w:rFonts w:hint="eastAsia" w:ascii="宋体" w:hAnsi="宋体" w:eastAsia="宋体" w:cs="宋体"/>
          <w:color w:val="000000" w:themeColor="text1"/>
          <w:kern w:val="0"/>
          <w:sz w:val="24"/>
          <w14:textFill>
            <w14:solidFill>
              <w14:schemeClr w14:val="tx1"/>
            </w14:solidFill>
          </w14:textFill>
        </w:rPr>
        <w:t> </w:t>
      </w:r>
      <w:r>
        <w:rPr>
          <w:rFonts w:hint="eastAsia" w:ascii="宋体" w:hAnsi="宋体" w:eastAsia="宋体" w:cs="宋体"/>
          <w:color w:val="000000" w:themeColor="text1"/>
          <w14:textFill>
            <w14:solidFill>
              <w14:schemeClr w14:val="tx1"/>
            </w14:solidFill>
          </w14:textFill>
        </w:rPr>
        <w:t>）</w:t>
      </w:r>
    </w:p>
    <w:p w14:paraId="371CCF47">
      <w:pPr>
        <w:shd w:val="clear" w:color="auto" w:fill="FFFFFF"/>
        <w:spacing w:line="240" w:lineRule="auto"/>
        <w:jc w:val="center"/>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drawing>
          <wp:inline distT="0" distB="0" distL="114300" distR="114300">
            <wp:extent cx="3869055" cy="923290"/>
            <wp:effectExtent l="0" t="0" r="4445" b="3810"/>
            <wp:docPr id="8" name="图片 6" descr="@@@92f5d2f3-e326-475d-af9b-2634665d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92f5d2f3-e326-475d-af9b-2634665d3266"/>
                    <pic:cNvPicPr>
                      <a:picLocks noChangeAspect="1"/>
                    </pic:cNvPicPr>
                  </pic:nvPicPr>
                  <pic:blipFill>
                    <a:blip r:embed="rId18">
                      <a:lum bright="-12000" contrast="30000"/>
                    </a:blip>
                    <a:stretch>
                      <a:fillRect/>
                    </a:stretch>
                  </pic:blipFill>
                  <pic:spPr>
                    <a:xfrm>
                      <a:off x="0" y="0"/>
                      <a:ext cx="3869055" cy="923290"/>
                    </a:xfrm>
                    <a:prstGeom prst="rect">
                      <a:avLst/>
                    </a:prstGeom>
                    <a:noFill/>
                    <a:ln>
                      <a:noFill/>
                    </a:ln>
                  </pic:spPr>
                </pic:pic>
              </a:graphicData>
            </a:graphic>
          </wp:inline>
        </w:drawing>
      </w:r>
    </w:p>
    <w:p w14:paraId="7451861B">
      <w:pPr>
        <w:shd w:val="clear" w:color="auto" w:fill="FFFFFF"/>
        <w:spacing w:line="240" w:lineRule="auto"/>
        <w:ind w:firstLine="210" w:firstLineChars="100"/>
        <w:jc w:val="left"/>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A．用接种环在培养基上连续划线获得图示实验菌落</w:t>
      </w:r>
    </w:p>
    <w:p w14:paraId="583DF33F">
      <w:pPr>
        <w:shd w:val="clear" w:color="auto" w:fill="FFFFFF"/>
        <w:spacing w:line="240" w:lineRule="auto"/>
        <w:ind w:firstLine="210" w:firstLineChars="100"/>
        <w:jc w:val="left"/>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B．结果说明细菌的抗性出现在接触青霉素之后</w:t>
      </w:r>
    </w:p>
    <w:p w14:paraId="4993AED6">
      <w:pPr>
        <w:shd w:val="clear" w:color="auto" w:fill="FFFFFF"/>
        <w:spacing w:line="240" w:lineRule="auto"/>
        <w:ind w:firstLine="210" w:firstLineChars="100"/>
        <w:jc w:val="left"/>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C．可通过提高抗生素浓度避免超级细菌的产生</w:t>
      </w:r>
    </w:p>
    <w:p w14:paraId="1CB8EB5A">
      <w:pPr>
        <w:shd w:val="clear" w:color="auto" w:fill="FFFFFF"/>
        <w:spacing w:line="240" w:lineRule="auto"/>
        <w:ind w:firstLine="210" w:firstLineChars="100"/>
        <w:jc w:val="left"/>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D．细菌培养基在使用前、后均需经过高压蒸汽灭菌</w:t>
      </w:r>
    </w:p>
    <w:p w14:paraId="4816B854">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二、多选题：本部分包括4题，每题3分，共计12分。每题有不止一个选项符合题意。每题全选对者得3分，选对但不全的得1分，错选或不答的得0分。</w:t>
      </w:r>
    </w:p>
    <w:p w14:paraId="2424FF2D">
      <w:pPr>
        <w:spacing w:line="240" w:lineRule="auto"/>
        <w:jc w:val="left"/>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1</w:t>
      </w:r>
      <w:r>
        <w:rPr>
          <w:rFonts w:hint="eastAsia" w:ascii="宋体" w:hAnsi="宋体" w:cs="宋体"/>
          <w:bCs/>
          <w:color w:val="000000" w:themeColor="text1"/>
          <w:szCs w:val="21"/>
          <w:lang w:val="en-US" w:eastAsia="zh-CN"/>
          <w14:textFill>
            <w14:solidFill>
              <w14:schemeClr w14:val="tx1"/>
            </w14:solidFill>
          </w14:textFill>
        </w:rPr>
        <w:t>5</w:t>
      </w:r>
      <w:r>
        <w:rPr>
          <w:rFonts w:hint="eastAsia" w:ascii="宋体" w:hAnsi="宋体" w:eastAsia="宋体" w:cs="宋体"/>
          <w:bCs/>
          <w:color w:val="000000" w:themeColor="text1"/>
          <w:szCs w:val="2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下列有关结构或物质的提取、分离和鉴定实验的叙述，错误的是</w:t>
      </w:r>
      <w:r>
        <w:rPr>
          <w:rFonts w:hint="eastAsia" w:ascii="宋体" w:hAnsi="宋体" w:cs="宋体"/>
          <w:color w:val="000000" w:themeColor="text1"/>
          <w:lang w:val="en-US" w:eastAsia="zh-CN"/>
          <w14:textFill>
            <w14:solidFill>
              <w14:schemeClr w14:val="tx1"/>
            </w14:solidFill>
          </w14:textFill>
        </w:rPr>
        <w:t xml:space="preserve">          </w:t>
      </w:r>
      <w:r>
        <w:rPr>
          <w:rFonts w:hint="eastAsia" w:ascii="宋体" w:hAnsi="宋体" w:eastAsia="宋体" w:cs="宋体"/>
          <w:color w:val="000000" w:themeColor="text1"/>
          <w14:textFill>
            <w14:solidFill>
              <w14:schemeClr w14:val="tx1"/>
            </w14:solidFill>
          </w14:textFill>
        </w:rPr>
        <w:t>（　</w:t>
      </w:r>
      <w:r>
        <w:rPr>
          <w:rFonts w:hint="eastAsia" w:ascii="宋体" w:hAnsi="宋体" w:cs="宋体"/>
          <w:color w:val="000000" w:themeColor="text1"/>
          <w:lang w:val="en-US" w:eastAsia="zh-CN"/>
          <w14:textFill>
            <w14:solidFill>
              <w14:schemeClr w14:val="tx1"/>
            </w14:solidFill>
          </w14:textFill>
        </w:rPr>
        <w:t xml:space="preserve">   </w:t>
      </w:r>
      <w:r>
        <w:rPr>
          <w:rFonts w:hint="eastAsia" w:ascii="宋体" w:hAnsi="宋体" w:eastAsia="宋体" w:cs="宋体"/>
          <w:color w:val="000000" w:themeColor="text1"/>
          <w14:textFill>
            <w14:solidFill>
              <w14:schemeClr w14:val="tx1"/>
            </w14:solidFill>
          </w14:textFill>
        </w:rPr>
        <w:t>　）</w:t>
      </w:r>
    </w:p>
    <w:p w14:paraId="4B4686B7">
      <w:pPr>
        <w:spacing w:line="240" w:lineRule="auto"/>
        <w:ind w:firstLine="210" w:firstLineChars="100"/>
        <w:jc w:val="left"/>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A. DNA提取实验中加入现配的二苯胺试剂，沸水浴后会出现蓝色</w:t>
      </w:r>
    </w:p>
    <w:p w14:paraId="70FD5725">
      <w:pPr>
        <w:spacing w:line="240" w:lineRule="auto"/>
        <w:ind w:firstLine="210" w:firstLineChars="100"/>
        <w:jc w:val="left"/>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B. 草莓果实中含有大量果糖，宜作为还原性糖鉴定的实验材料</w:t>
      </w:r>
    </w:p>
    <w:p w14:paraId="7BD21B4A">
      <w:pPr>
        <w:spacing w:line="240" w:lineRule="auto"/>
        <w:ind w:firstLine="210" w:firstLineChars="100"/>
        <w:jc w:val="left"/>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C. 用苏丹Ⅲ对脂肪进行鉴定时，滴加染料后立即制成临时装片观察</w:t>
      </w:r>
    </w:p>
    <w:p w14:paraId="506EC82F">
      <w:pPr>
        <w:spacing w:line="240" w:lineRule="auto"/>
        <w:ind w:firstLine="210" w:firstLineChars="100"/>
        <w:jc w:val="left"/>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D. 发酵工程中要获得的产品若是代谢物，可以使用过滤和沉淀的方法</w:t>
      </w:r>
    </w:p>
    <w:p w14:paraId="0544FDD3">
      <w:pPr>
        <w:keepNext w:val="0"/>
        <w:keepLines w:val="0"/>
        <w:pageBreakBefore w:val="0"/>
        <w:widowControl w:val="0"/>
        <w:kinsoku/>
        <w:wordWrap/>
        <w:overflowPunct/>
        <w:topLinePunct w:val="0"/>
        <w:autoSpaceDE/>
        <w:autoSpaceDN/>
        <w:bidi w:val="0"/>
        <w:adjustRightInd/>
        <w:snapToGrid w:val="0"/>
        <w:spacing w:line="240" w:lineRule="auto"/>
        <w:jc w:val="both"/>
        <w:textAlignment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r>
        <w:rPr>
          <w:rFonts w:hint="eastAsia" w:ascii="宋体" w:hAnsi="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.研究发现单基因突变导致卵母细胞死亡是女性无法生育的原因之一。图甲为某不孕女性家族系谱图， 图乙为家族成员一对基因的模板链部分测序结果，下列相关叙述错误的是</w:t>
      </w:r>
      <w:r>
        <w:rPr>
          <w:rFonts w:hint="eastAsia" w:ascii="宋体" w:hAnsi="宋体" w:cs="宋体"/>
          <w:color w:val="000000" w:themeColor="text1"/>
          <w:sz w:val="21"/>
          <w:szCs w:val="21"/>
          <w:lang w:eastAsia="zh-CN"/>
          <w14:textFill>
            <w14:solidFill>
              <w14:schemeClr w14:val="tx1"/>
            </w14:solidFill>
          </w14:textFill>
        </w:rPr>
        <w:t>（）</w:t>
      </w:r>
    </w:p>
    <w:p w14:paraId="21E9962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drawing>
          <wp:inline distT="0" distB="0" distL="114300" distR="114300">
            <wp:extent cx="4647565" cy="1842770"/>
            <wp:effectExtent l="0" t="0" r="635" b="11430"/>
            <wp:docPr id="5" name="图片 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4647565" cy="1842770"/>
                    </a:xfrm>
                    <a:prstGeom prst="rect">
                      <a:avLst/>
                    </a:prstGeom>
                    <a:noFill/>
                    <a:ln>
                      <a:noFill/>
                    </a:ln>
                  </pic:spPr>
                </pic:pic>
              </a:graphicData>
            </a:graphic>
          </wp:inline>
        </w:drawing>
      </w:r>
    </w:p>
    <w:p w14:paraId="1D6C4197">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A.</w:t>
      </w:r>
      <w:r>
        <w:rPr>
          <w:rFonts w:hint="eastAsia" w:ascii="宋体" w:hAnsi="宋体" w:eastAsia="宋体" w:cs="宋体"/>
          <w:color w:val="000000" w:themeColor="text1"/>
          <w:sz w:val="21"/>
          <w:szCs w:val="21"/>
          <w14:textFill>
            <w14:solidFill>
              <w14:schemeClr w14:val="tx1"/>
            </w14:solidFill>
          </w14:textFill>
        </w:rPr>
        <w:t>该病的遗传方式是常染色体隐性遗传</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lang w:val="en-US" w:eastAsia="zh-CN"/>
          <w14:textFill>
            <w14:solidFill>
              <w14:schemeClr w14:val="tx1"/>
            </w14:solidFill>
          </w14:textFill>
        </w:rPr>
        <w:t>B.</w:t>
      </w:r>
      <w:r>
        <w:rPr>
          <w:rFonts w:hint="eastAsia" w:ascii="宋体" w:hAnsi="宋体" w:eastAsia="宋体" w:cs="宋体"/>
          <w:color w:val="000000" w:themeColor="text1"/>
          <w:sz w:val="21"/>
          <w:szCs w:val="21"/>
          <w14:textFill>
            <w14:solidFill>
              <w14:schemeClr w14:val="tx1"/>
            </w14:solidFill>
          </w14:textFill>
        </w:rPr>
        <w:t>该病的致病机理是基因中碱基对发生了</w:t>
      </w:r>
      <w:r>
        <w:rPr>
          <w:rFonts w:hint="eastAsia" w:ascii="宋体" w:hAnsi="宋体" w:eastAsia="宋体" w:cs="宋体"/>
          <w:color w:val="000000" w:themeColor="text1"/>
          <w:sz w:val="21"/>
          <w:szCs w:val="21"/>
          <w:lang w:val="en-US" w:eastAsia="zh-CN"/>
          <w14:textFill>
            <w14:solidFill>
              <w14:schemeClr w14:val="tx1"/>
            </w14:solidFill>
          </w14:textFill>
        </w:rPr>
        <w:t>替换</w:t>
      </w:r>
    </w:p>
    <w:p w14:paraId="0F2AAA81">
      <w:pPr>
        <w:keepNext w:val="0"/>
        <w:keepLines w:val="0"/>
        <w:pageBreakBefore w:val="0"/>
        <w:widowControl w:val="0"/>
        <w:kinsoku/>
        <w:wordWrap/>
        <w:overflowPunct/>
        <w:topLinePunct w:val="0"/>
        <w:autoSpaceDE/>
        <w:autoSpaceDN/>
        <w:bidi w:val="0"/>
        <w:adjustRightInd/>
        <w:snapToGrid w:val="0"/>
        <w:spacing w:line="240" w:lineRule="auto"/>
        <w:ind w:firstLine="210" w:firstLineChars="100"/>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C.</w:t>
      </w:r>
      <w:r>
        <w:rPr>
          <w:rFonts w:hint="eastAsia" w:ascii="宋体" w:hAnsi="宋体" w:eastAsia="宋体" w:cs="宋体"/>
          <w:color w:val="000000" w:themeColor="text1"/>
          <w:sz w:val="21"/>
          <w:szCs w:val="21"/>
          <w14:textFill>
            <w14:solidFill>
              <w14:schemeClr w14:val="tx1"/>
            </w14:solidFill>
          </w14:textFill>
        </w:rPr>
        <w:t>Ⅱ-4再生一个患病孩子的概率为1/4</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lang w:val="en-US" w:eastAsia="zh-CN"/>
          <w14:textFill>
            <w14:solidFill>
              <w14:schemeClr w14:val="tx1"/>
            </w14:solidFill>
          </w14:textFill>
        </w:rPr>
        <w:t>D.</w:t>
      </w:r>
      <w:r>
        <w:rPr>
          <w:rFonts w:hint="eastAsia" w:ascii="宋体" w:hAnsi="宋体" w:eastAsia="宋体" w:cs="宋体"/>
          <w:color w:val="000000" w:themeColor="text1"/>
          <w:sz w:val="21"/>
          <w:szCs w:val="21"/>
          <w14:textFill>
            <w14:solidFill>
              <w14:schemeClr w14:val="tx1"/>
            </w14:solidFill>
          </w14:textFill>
        </w:rPr>
        <w:t>Ⅱ-5携带致病基因的概率为1/2</w:t>
      </w:r>
    </w:p>
    <w:p w14:paraId="2D306D28">
      <w:pPr>
        <w:keepNext w:val="0"/>
        <w:keepLines w:val="0"/>
        <w:pageBreakBefore w:val="0"/>
        <w:widowControl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cs="宋体"/>
          <w:color w:val="000000" w:themeColor="text1"/>
          <w:sz w:val="21"/>
          <w:szCs w:val="21"/>
          <w:lang w:val="en-US" w:eastAsia="zh-CN"/>
          <w14:textFill>
            <w14:solidFill>
              <w14:schemeClr w14:val="tx1"/>
            </w14:solidFill>
          </w14:textFill>
        </w:rPr>
        <w:t>7</w:t>
      </w:r>
      <w:r>
        <w:rPr>
          <w:rFonts w:hint="eastAsia" w:ascii="宋体" w:hAnsi="宋体" w:eastAsia="宋体" w:cs="宋体"/>
          <w:color w:val="000000" w:themeColor="text1"/>
          <w:sz w:val="21"/>
          <w:szCs w:val="21"/>
          <w14:textFill>
            <w14:solidFill>
              <w14:schemeClr w14:val="tx1"/>
            </w14:solidFill>
          </w14:textFill>
        </w:rPr>
        <w:t>.基因表达调控包括转录水平、转录后水平和翻译水平等层次的调控。下图为乳糖诱导大肠杆菌中乳糖分解代谢途径相关基因表达的过程，下列叙述错误的有</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cs="宋体"/>
          <w:b/>
          <w:bCs/>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w:t>
      </w:r>
    </w:p>
    <w:p w14:paraId="05C360BB">
      <w:pPr>
        <w:keepNext w:val="0"/>
        <w:keepLines w:val="0"/>
        <w:pageBreakBefore w:val="0"/>
        <w:widowControl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drawing>
          <wp:inline distT="0" distB="0" distL="114300" distR="114300">
            <wp:extent cx="4115435" cy="1644650"/>
            <wp:effectExtent l="0" t="0" r="12065" b="6350"/>
            <wp:docPr id="6" name="图片 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学科网(www.zxxk.com)--教育资源门户，提供试卷、教案、课件、论文、素材以及各类教学资源下载，还有大量而丰富的教学相关资讯！"/>
                    <pic:cNvPicPr>
                      <a:picLocks noChangeAspect="1"/>
                    </pic:cNvPicPr>
                  </pic:nvPicPr>
                  <pic:blipFill>
                    <a:blip r:embed="rId20"/>
                    <a:srcRect l="1534" t="3347" r="4105" b="5391"/>
                    <a:stretch>
                      <a:fillRect/>
                    </a:stretch>
                  </pic:blipFill>
                  <pic:spPr>
                    <a:xfrm>
                      <a:off x="0" y="0"/>
                      <a:ext cx="4115435" cy="1644650"/>
                    </a:xfrm>
                    <a:prstGeom prst="rect">
                      <a:avLst/>
                    </a:prstGeom>
                    <a:noFill/>
                    <a:ln>
                      <a:noFill/>
                    </a:ln>
                  </pic:spPr>
                </pic:pic>
              </a:graphicData>
            </a:graphic>
          </wp:inline>
        </w:drawing>
      </w:r>
    </w:p>
    <w:p w14:paraId="187E51BF">
      <w:pPr>
        <w:keepNext w:val="0"/>
        <w:keepLines w:val="0"/>
        <w:pageBreakBefore w:val="0"/>
        <w:widowControl w:val="0"/>
        <w:kinsoku/>
        <w:wordWrap/>
        <w:overflowPunct/>
        <w:topLinePunct w:val="0"/>
        <w:autoSpaceDE/>
        <w:autoSpaceDN/>
        <w:bidi w:val="0"/>
        <w:adjustRightInd/>
        <w:snapToGrid w:val="0"/>
        <w:spacing w:line="240" w:lineRule="auto"/>
        <w:ind w:firstLine="210" w:firstLineChars="10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A.lacZ-A成簇排列共同调控，利于对环境快速反应</w:t>
      </w:r>
    </w:p>
    <w:p w14:paraId="22CEB33D">
      <w:pPr>
        <w:keepNext w:val="0"/>
        <w:keepLines w:val="0"/>
        <w:pageBreakBefore w:val="0"/>
        <w:widowControl w:val="0"/>
        <w:kinsoku/>
        <w:wordWrap/>
        <w:overflowPunct/>
        <w:topLinePunct w:val="0"/>
        <w:autoSpaceDE/>
        <w:autoSpaceDN/>
        <w:bidi w:val="0"/>
        <w:adjustRightInd/>
        <w:snapToGrid w:val="0"/>
        <w:spacing w:line="240" w:lineRule="auto"/>
        <w:ind w:firstLine="210" w:firstLineChars="10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B.乳糖的存在抑制了阻遏蛋白基因的表达</w:t>
      </w:r>
    </w:p>
    <w:p w14:paraId="564CB342">
      <w:pPr>
        <w:keepNext w:val="0"/>
        <w:keepLines w:val="0"/>
        <w:pageBreakBefore w:val="0"/>
        <w:widowControl w:val="0"/>
        <w:kinsoku/>
        <w:wordWrap/>
        <w:overflowPunct/>
        <w:topLinePunct w:val="0"/>
        <w:autoSpaceDE/>
        <w:autoSpaceDN/>
        <w:bidi w:val="0"/>
        <w:adjustRightInd/>
        <w:snapToGrid w:val="0"/>
        <w:spacing w:line="240" w:lineRule="auto"/>
        <w:ind w:firstLine="210" w:firstLineChars="100"/>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C.mRNA2可能含有多个启动子和终止子</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lang w:val="en-US" w:eastAsia="zh-CN"/>
          <w14:textFill>
            <w14:solidFill>
              <w14:schemeClr w14:val="tx1"/>
            </w14:solidFill>
          </w14:textFill>
        </w:rPr>
        <w:t>D.上述调控过程</w:t>
      </w:r>
      <w:r>
        <w:rPr>
          <w:rFonts w:hint="eastAsia" w:ascii="宋体" w:hAnsi="宋体" w:eastAsia="宋体" w:cs="宋体"/>
          <w:color w:val="000000" w:themeColor="text1"/>
          <w:sz w:val="21"/>
          <w:szCs w:val="21"/>
          <w14:textFill>
            <w14:solidFill>
              <w14:schemeClr w14:val="tx1"/>
            </w14:solidFill>
          </w14:textFill>
        </w:rPr>
        <w:t>属于转录后水平调控</w:t>
      </w:r>
    </w:p>
    <w:p w14:paraId="72E264B0">
      <w:pPr>
        <w:keepNext w:val="0"/>
        <w:keepLines w:val="0"/>
        <w:pageBreakBefore w:val="0"/>
        <w:widowControl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r>
        <w:rPr>
          <w:rFonts w:hint="eastAsia" w:ascii="宋体" w:hAnsi="宋体" w:cs="宋体"/>
          <w:color w:val="000000" w:themeColor="text1"/>
          <w:sz w:val="21"/>
          <w:szCs w:val="21"/>
          <w:lang w:val="en-US" w:eastAsia="zh-CN"/>
          <w14:textFill>
            <w14:solidFill>
              <w14:schemeClr w14:val="tx1"/>
            </w14:solidFill>
          </w14:textFill>
        </w:rPr>
        <w:t>8</w:t>
      </w:r>
      <w:r>
        <w:rPr>
          <w:rFonts w:hint="eastAsia" w:ascii="宋体" w:hAnsi="宋体" w:eastAsia="宋体" w:cs="宋体"/>
          <w:color w:val="000000" w:themeColor="text1"/>
          <w:sz w:val="21"/>
          <w:szCs w:val="21"/>
          <w14:textFill>
            <w14:solidFill>
              <w14:schemeClr w14:val="tx1"/>
            </w14:solidFill>
          </w14:textFill>
        </w:rPr>
        <w:t>.当机体被蚊子叮咬后，叮咬部位出现皮肤红肿，同时痒觉信号传递到神经中枢产生痒觉，并产生抓挠行为。“抓挠止痒”的部分调节机制如图所示，其中a、b、c代表中间神经元，Glu是一种兴奋性神经递质。下列相关叙述正确的是</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cs="宋体"/>
          <w:b/>
          <w:bCs/>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w:t>
      </w:r>
    </w:p>
    <w:p w14:paraId="1DC5549C">
      <w:pPr>
        <w:keepNext w:val="0"/>
        <w:keepLines w:val="0"/>
        <w:pageBreakBefore w:val="0"/>
        <w:widowControl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drawing>
          <wp:inline distT="0" distB="0" distL="114300" distR="114300">
            <wp:extent cx="2869565" cy="1306830"/>
            <wp:effectExtent l="0" t="0" r="0" b="0"/>
            <wp:docPr id="3" name="图片 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学科网(www.zxxk.com)--教育资源门户，提供试卷、教案、课件、论文、素材以及各类教学资源下载，还有大量而丰富的教学相关资讯！"/>
                    <pic:cNvPicPr>
                      <a:picLocks noChangeAspect="1"/>
                    </pic:cNvPicPr>
                  </pic:nvPicPr>
                  <pic:blipFill>
                    <a:blip r:embed="rId21"/>
                    <a:srcRect l="419" t="2819" b="3593"/>
                    <a:stretch>
                      <a:fillRect/>
                    </a:stretch>
                  </pic:blipFill>
                  <pic:spPr>
                    <a:xfrm>
                      <a:off x="0" y="0"/>
                      <a:ext cx="2869565" cy="1306830"/>
                    </a:xfrm>
                    <a:prstGeom prst="rect">
                      <a:avLst/>
                    </a:prstGeom>
                    <a:noFill/>
                    <a:ln>
                      <a:noFill/>
                    </a:ln>
                  </pic:spPr>
                </pic:pic>
              </a:graphicData>
            </a:graphic>
          </wp:inline>
        </w:drawing>
      </w:r>
    </w:p>
    <w:p w14:paraId="4AEB3016">
      <w:pPr>
        <w:keepNext w:val="0"/>
        <w:keepLines w:val="0"/>
        <w:pageBreakBefore w:val="0"/>
        <w:widowControl w:val="0"/>
        <w:kinsoku/>
        <w:wordWrap/>
        <w:overflowPunct/>
        <w:topLinePunct w:val="0"/>
        <w:autoSpaceDE/>
        <w:autoSpaceDN/>
        <w:bidi w:val="0"/>
        <w:adjustRightInd/>
        <w:snapToGrid w:val="0"/>
        <w:spacing w:line="240" w:lineRule="auto"/>
        <w:ind w:firstLine="210" w:firstLineChars="10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A. 蚊子叮咬所释放的某些物质能引起局部血管壁通透性增强等，导致皮肤红肿</w:t>
      </w:r>
    </w:p>
    <w:p w14:paraId="526638B3">
      <w:pPr>
        <w:keepNext w:val="0"/>
        <w:keepLines w:val="0"/>
        <w:pageBreakBefore w:val="0"/>
        <w:widowControl w:val="0"/>
        <w:kinsoku/>
        <w:wordWrap/>
        <w:overflowPunct/>
        <w:topLinePunct w:val="0"/>
        <w:autoSpaceDE/>
        <w:autoSpaceDN/>
        <w:bidi w:val="0"/>
        <w:adjustRightInd/>
        <w:snapToGrid w:val="0"/>
        <w:spacing w:line="240" w:lineRule="auto"/>
        <w:ind w:firstLine="210" w:firstLineChars="10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B. 蚊子叮咬后神经元a的膜外电位从正电位变为负电位再变为正电位</w:t>
      </w:r>
    </w:p>
    <w:p w14:paraId="65B6EAC4">
      <w:pPr>
        <w:keepNext w:val="0"/>
        <w:keepLines w:val="0"/>
        <w:pageBreakBefore w:val="0"/>
        <w:widowControl w:val="0"/>
        <w:kinsoku/>
        <w:wordWrap/>
        <w:overflowPunct/>
        <w:topLinePunct w:val="0"/>
        <w:autoSpaceDE/>
        <w:autoSpaceDN/>
        <w:bidi w:val="0"/>
        <w:adjustRightInd/>
        <w:snapToGrid w:val="0"/>
        <w:spacing w:line="240" w:lineRule="auto"/>
        <w:ind w:firstLine="210" w:firstLineChars="10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C. 蚊子叮咬后信号传至大脑皮层产生痒觉的过程属于非条件反射</w:t>
      </w:r>
    </w:p>
    <w:p w14:paraId="52834D2F">
      <w:pPr>
        <w:keepNext w:val="0"/>
        <w:keepLines w:val="0"/>
        <w:pageBreakBefore w:val="0"/>
        <w:widowControl w:val="0"/>
        <w:kinsoku/>
        <w:wordWrap/>
        <w:overflowPunct/>
        <w:topLinePunct w:val="0"/>
        <w:autoSpaceDE/>
        <w:autoSpaceDN/>
        <w:bidi w:val="0"/>
        <w:adjustRightInd/>
        <w:snapToGrid w:val="0"/>
        <w:spacing w:line="240" w:lineRule="auto"/>
        <w:ind w:firstLine="210" w:firstLineChars="100"/>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D. Glu通</w:t>
      </w:r>
      <w:r>
        <w:rPr>
          <w:rFonts w:hint="eastAsia" w:ascii="宋体" w:hAnsi="宋体" w:eastAsia="宋体" w:cs="宋体"/>
          <w:color w:val="000000" w:themeColor="text1"/>
          <w:sz w:val="21"/>
          <w:szCs w:val="21"/>
          <w14:textFill>
            <w14:solidFill>
              <w14:schemeClr w14:val="tx1"/>
            </w14:solidFill>
          </w14:textFill>
        </w:rPr>
        <w:t>过促进神经元c 释放抑制性递质起到“抓挠止痒”的效果</w:t>
      </w:r>
    </w:p>
    <w:p w14:paraId="02C17B1D">
      <w:pPr>
        <w:keepNext w:val="0"/>
        <w:keepLines w:val="0"/>
        <w:pageBreakBefore w:val="0"/>
        <w:widowControl w:val="0"/>
        <w:kinsoku/>
        <w:wordWrap/>
        <w:overflowPunct/>
        <w:topLinePunct w:val="0"/>
        <w:autoSpaceDE/>
        <w:autoSpaceDN/>
        <w:bidi w:val="0"/>
        <w:adjustRightInd/>
        <w:snapToGrid w:val="0"/>
        <w:spacing w:line="240" w:lineRule="auto"/>
        <w:jc w:val="both"/>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19</w:t>
      </w:r>
      <w:r>
        <w:rPr>
          <w:rFonts w:hint="eastAsia" w:ascii="宋体" w:hAnsi="宋体" w:eastAsia="宋体" w:cs="宋体"/>
          <w:color w:val="000000" w:themeColor="text1"/>
          <w:sz w:val="21"/>
          <w:szCs w:val="21"/>
          <w14:textFill>
            <w14:solidFill>
              <w14:schemeClr w14:val="tx1"/>
            </w14:solidFill>
          </w14:textFill>
        </w:rPr>
        <w:t>.鸡蛋表面污染的细菌会逐渐侵入蛋内，缩短鸡蛋保质期。对某地不同季节及不同养殖模式下生产的鸡蛋取样，按每克鸡蛋用1mL无菌生理盐水清洗鸡蛋表面，收集清洗液，培养计数结果如下表。相关叙述正确的是</w:t>
      </w:r>
      <w:r>
        <w:rPr>
          <w:rFonts w:hint="eastAsia" w:ascii="宋体" w:hAnsi="宋体" w:cs="宋体"/>
          <w:b/>
          <w:bCs/>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w:t>
      </w:r>
    </w:p>
    <w:tbl>
      <w:tblPr>
        <w:tblStyle w:val="5"/>
        <w:tblW w:w="0" w:type="auto"/>
        <w:tblInd w:w="2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2237"/>
        <w:gridCol w:w="2193"/>
      </w:tblGrid>
      <w:tr w14:paraId="44A30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vMerge w:val="restart"/>
            <w:noWrap w:val="0"/>
            <w:vAlign w:val="top"/>
          </w:tcPr>
          <w:p w14:paraId="1A04DE1D">
            <w:pPr>
              <w:keepNext w:val="0"/>
              <w:keepLines w:val="0"/>
              <w:pageBreakBefore w:val="0"/>
              <w:widowControl w:val="0"/>
              <w:kinsoku/>
              <w:wordWrap/>
              <w:overflowPunct/>
              <w:topLinePunct w:val="0"/>
              <w:autoSpaceDE/>
              <w:autoSpaceDN/>
              <w:bidi w:val="0"/>
              <w:adjustRightInd/>
              <w:snapToGrid w:val="0"/>
              <w:spacing w:line="240" w:lineRule="auto"/>
              <w:jc w:val="both"/>
              <w:textAlignment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季节</w:t>
            </w:r>
          </w:p>
        </w:tc>
        <w:tc>
          <w:tcPr>
            <w:tcW w:w="4430" w:type="dxa"/>
            <w:gridSpan w:val="2"/>
            <w:noWrap w:val="0"/>
            <w:vAlign w:val="top"/>
          </w:tcPr>
          <w:p w14:paraId="75D388BD">
            <w:pPr>
              <w:keepNext w:val="0"/>
              <w:keepLines w:val="0"/>
              <w:pageBreakBefore w:val="0"/>
              <w:widowControl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菌落数（个·</w:t>
            </w:r>
            <w:r>
              <w:rPr>
                <w:rFonts w:hint="eastAsia" w:ascii="宋体" w:hAnsi="宋体" w:cs="宋体"/>
                <w:color w:val="000000" w:themeColor="text1"/>
                <w:sz w:val="21"/>
                <w:szCs w:val="21"/>
                <w:lang w:val="en-US" w:eastAsia="zh-CN"/>
                <w14:textFill>
                  <w14:solidFill>
                    <w14:schemeClr w14:val="tx1"/>
                  </w14:solidFill>
                </w14:textFill>
              </w:rPr>
              <w:t>g</w:t>
            </w:r>
            <w:r>
              <w:rPr>
                <w:rFonts w:hint="eastAsia" w:ascii="宋体" w:hAnsi="宋体" w:cs="宋体"/>
                <w:color w:val="000000" w:themeColor="text1"/>
                <w:sz w:val="21"/>
                <w:szCs w:val="21"/>
                <w:vertAlign w:val="superscript"/>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w:t>
            </w:r>
          </w:p>
        </w:tc>
      </w:tr>
      <w:tr w14:paraId="4AE1B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vMerge w:val="continue"/>
            <w:noWrap w:val="0"/>
            <w:vAlign w:val="top"/>
          </w:tcPr>
          <w:p w14:paraId="0CEFB0DB">
            <w:pPr>
              <w:keepNext w:val="0"/>
              <w:keepLines w:val="0"/>
              <w:pageBreakBefore w:val="0"/>
              <w:widowControl w:val="0"/>
              <w:kinsoku/>
              <w:wordWrap/>
              <w:overflowPunct/>
              <w:topLinePunct w:val="0"/>
              <w:autoSpaceDE/>
              <w:autoSpaceDN/>
              <w:bidi w:val="0"/>
              <w:adjustRightInd/>
              <w:snapToGrid w:val="0"/>
              <w:spacing w:line="240" w:lineRule="auto"/>
              <w:jc w:val="both"/>
              <w:textAlignment w:val="center"/>
              <w:rPr>
                <w:rFonts w:hint="eastAsia" w:ascii="宋体" w:hAnsi="宋体" w:eastAsia="宋体" w:cs="宋体"/>
                <w:color w:val="000000" w:themeColor="text1"/>
                <w:sz w:val="21"/>
                <w:szCs w:val="21"/>
                <w:vertAlign w:val="baseline"/>
                <w14:textFill>
                  <w14:solidFill>
                    <w14:schemeClr w14:val="tx1"/>
                  </w14:solidFill>
                </w14:textFill>
              </w:rPr>
            </w:pPr>
          </w:p>
        </w:tc>
        <w:tc>
          <w:tcPr>
            <w:tcW w:w="2237" w:type="dxa"/>
            <w:noWrap w:val="0"/>
            <w:vAlign w:val="top"/>
          </w:tcPr>
          <w:p w14:paraId="104B7A94">
            <w:pPr>
              <w:keepNext w:val="0"/>
              <w:keepLines w:val="0"/>
              <w:pageBreakBefore w:val="0"/>
              <w:widowControl w:val="0"/>
              <w:kinsoku/>
              <w:wordWrap/>
              <w:overflowPunct/>
              <w:topLinePunct w:val="0"/>
              <w:autoSpaceDE/>
              <w:autoSpaceDN/>
              <w:bidi w:val="0"/>
              <w:adjustRightInd/>
              <w:snapToGrid w:val="0"/>
              <w:spacing w:line="240" w:lineRule="auto"/>
              <w:jc w:val="both"/>
              <w:textAlignment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半封闭式养殖模式</w:t>
            </w:r>
          </w:p>
        </w:tc>
        <w:tc>
          <w:tcPr>
            <w:tcW w:w="2193" w:type="dxa"/>
            <w:noWrap w:val="0"/>
            <w:vAlign w:val="top"/>
          </w:tcPr>
          <w:p w14:paraId="460138D0">
            <w:pPr>
              <w:keepNext w:val="0"/>
              <w:keepLines w:val="0"/>
              <w:pageBreakBefore w:val="0"/>
              <w:widowControl w:val="0"/>
              <w:kinsoku/>
              <w:wordWrap/>
              <w:overflowPunct/>
              <w:topLinePunct w:val="0"/>
              <w:autoSpaceDE/>
              <w:autoSpaceDN/>
              <w:bidi w:val="0"/>
              <w:adjustRightInd/>
              <w:snapToGrid w:val="0"/>
              <w:spacing w:line="240" w:lineRule="auto"/>
              <w:jc w:val="both"/>
              <w:textAlignment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全封闭式养殖模式</w:t>
            </w:r>
          </w:p>
        </w:tc>
      </w:tr>
      <w:tr w14:paraId="65470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noWrap w:val="0"/>
            <w:vAlign w:val="top"/>
          </w:tcPr>
          <w:p w14:paraId="40999582">
            <w:pPr>
              <w:keepNext w:val="0"/>
              <w:keepLines w:val="0"/>
              <w:pageBreakBefore w:val="0"/>
              <w:widowControl w:val="0"/>
              <w:kinsoku/>
              <w:wordWrap/>
              <w:overflowPunct/>
              <w:topLinePunct w:val="0"/>
              <w:autoSpaceDE/>
              <w:autoSpaceDN/>
              <w:bidi w:val="0"/>
              <w:adjustRightInd/>
              <w:snapToGrid w:val="0"/>
              <w:spacing w:line="240" w:lineRule="auto"/>
              <w:jc w:val="both"/>
              <w:textAlignment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夏季</w:t>
            </w:r>
          </w:p>
        </w:tc>
        <w:tc>
          <w:tcPr>
            <w:tcW w:w="2237" w:type="dxa"/>
            <w:noWrap w:val="0"/>
            <w:vAlign w:val="top"/>
          </w:tcPr>
          <w:p w14:paraId="3F61308D">
            <w:pPr>
              <w:keepNext w:val="0"/>
              <w:keepLines w:val="0"/>
              <w:pageBreakBefore w:val="0"/>
              <w:widowControl w:val="0"/>
              <w:kinsoku/>
              <w:wordWrap/>
              <w:overflowPunct/>
              <w:topLinePunct w:val="0"/>
              <w:autoSpaceDE/>
              <w:autoSpaceDN/>
              <w:bidi w:val="0"/>
              <w:adjustRightInd/>
              <w:snapToGrid w:val="0"/>
              <w:spacing w:line="240" w:lineRule="auto"/>
              <w:jc w:val="both"/>
              <w:textAlignment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3.92×10</w:t>
            </w:r>
            <w:r>
              <w:rPr>
                <w:rFonts w:hint="eastAsia" w:ascii="宋体" w:hAnsi="宋体" w:eastAsia="宋体" w:cs="宋体"/>
                <w:color w:val="000000" w:themeColor="text1"/>
                <w:sz w:val="21"/>
                <w:szCs w:val="21"/>
                <w:vertAlign w:val="superscript"/>
                <w14:textFill>
                  <w14:solidFill>
                    <w14:schemeClr w14:val="tx1"/>
                  </w14:solidFill>
                </w14:textFill>
              </w:rPr>
              <w:t>4</w:t>
            </w:r>
          </w:p>
        </w:tc>
        <w:tc>
          <w:tcPr>
            <w:tcW w:w="2193" w:type="dxa"/>
            <w:noWrap w:val="0"/>
            <w:vAlign w:val="top"/>
          </w:tcPr>
          <w:p w14:paraId="2A2A0576">
            <w:pPr>
              <w:keepNext w:val="0"/>
              <w:keepLines w:val="0"/>
              <w:pageBreakBefore w:val="0"/>
              <w:widowControl w:val="0"/>
              <w:kinsoku/>
              <w:wordWrap/>
              <w:overflowPunct/>
              <w:topLinePunct w:val="0"/>
              <w:autoSpaceDE/>
              <w:autoSpaceDN/>
              <w:bidi w:val="0"/>
              <w:adjustRightInd/>
              <w:snapToGrid w:val="0"/>
              <w:spacing w:line="240" w:lineRule="auto"/>
              <w:jc w:val="both"/>
              <w:textAlignment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7.24×10</w:t>
            </w:r>
            <w:r>
              <w:rPr>
                <w:rFonts w:hint="eastAsia" w:ascii="宋体" w:hAnsi="宋体" w:eastAsia="宋体" w:cs="宋体"/>
                <w:color w:val="000000" w:themeColor="text1"/>
                <w:sz w:val="21"/>
                <w:szCs w:val="21"/>
                <w:vertAlign w:val="superscript"/>
                <w14:textFill>
                  <w14:solidFill>
                    <w14:schemeClr w14:val="tx1"/>
                  </w14:solidFill>
                </w14:textFill>
              </w:rPr>
              <w:t>3</w:t>
            </w:r>
          </w:p>
        </w:tc>
      </w:tr>
      <w:tr w14:paraId="1ADF7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noWrap w:val="0"/>
            <w:vAlign w:val="top"/>
          </w:tcPr>
          <w:p w14:paraId="5DDCD54D">
            <w:pPr>
              <w:keepNext w:val="0"/>
              <w:keepLines w:val="0"/>
              <w:pageBreakBefore w:val="0"/>
              <w:widowControl w:val="0"/>
              <w:kinsoku/>
              <w:wordWrap/>
              <w:overflowPunct/>
              <w:topLinePunct w:val="0"/>
              <w:autoSpaceDE/>
              <w:autoSpaceDN/>
              <w:bidi w:val="0"/>
              <w:adjustRightInd/>
              <w:snapToGrid w:val="0"/>
              <w:spacing w:line="240" w:lineRule="auto"/>
              <w:jc w:val="both"/>
              <w:textAlignment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冬季</w:t>
            </w:r>
          </w:p>
        </w:tc>
        <w:tc>
          <w:tcPr>
            <w:tcW w:w="2237" w:type="dxa"/>
            <w:noWrap w:val="0"/>
            <w:vAlign w:val="top"/>
          </w:tcPr>
          <w:p w14:paraId="3E02BA8B">
            <w:pPr>
              <w:keepNext w:val="0"/>
              <w:keepLines w:val="0"/>
              <w:pageBreakBefore w:val="0"/>
              <w:widowControl w:val="0"/>
              <w:kinsoku/>
              <w:wordWrap/>
              <w:overflowPunct/>
              <w:topLinePunct w:val="0"/>
              <w:autoSpaceDE/>
              <w:autoSpaceDN/>
              <w:bidi w:val="0"/>
              <w:adjustRightInd/>
              <w:snapToGrid w:val="0"/>
              <w:spacing w:line="240" w:lineRule="auto"/>
              <w:jc w:val="both"/>
              <w:textAlignment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7.60×10</w:t>
            </w:r>
            <w:r>
              <w:rPr>
                <w:rFonts w:hint="eastAsia" w:ascii="宋体" w:hAnsi="宋体" w:eastAsia="宋体" w:cs="宋体"/>
                <w:color w:val="000000" w:themeColor="text1"/>
                <w:sz w:val="21"/>
                <w:szCs w:val="21"/>
                <w:vertAlign w:val="superscript"/>
                <w14:textFill>
                  <w14:solidFill>
                    <w14:schemeClr w14:val="tx1"/>
                  </w14:solidFill>
                </w14:textFill>
              </w:rPr>
              <w:t>4</w:t>
            </w:r>
          </w:p>
        </w:tc>
        <w:tc>
          <w:tcPr>
            <w:tcW w:w="2193" w:type="dxa"/>
            <w:noWrap w:val="0"/>
            <w:vAlign w:val="top"/>
          </w:tcPr>
          <w:p w14:paraId="1DE0BD6C">
            <w:pPr>
              <w:keepNext w:val="0"/>
              <w:keepLines w:val="0"/>
              <w:pageBreakBefore w:val="0"/>
              <w:widowControl w:val="0"/>
              <w:kinsoku/>
              <w:wordWrap/>
              <w:overflowPunct/>
              <w:topLinePunct w:val="0"/>
              <w:autoSpaceDE/>
              <w:autoSpaceDN/>
              <w:bidi w:val="0"/>
              <w:adjustRightInd/>
              <w:snapToGrid w:val="0"/>
              <w:spacing w:line="240" w:lineRule="auto"/>
              <w:jc w:val="both"/>
              <w:textAlignment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1.24×10</w:t>
            </w:r>
            <w:r>
              <w:rPr>
                <w:rFonts w:hint="eastAsia" w:ascii="宋体" w:hAnsi="宋体" w:eastAsia="宋体" w:cs="宋体"/>
                <w:color w:val="000000" w:themeColor="text1"/>
                <w:sz w:val="21"/>
                <w:szCs w:val="21"/>
                <w:vertAlign w:val="superscript"/>
                <w14:textFill>
                  <w14:solidFill>
                    <w14:schemeClr w14:val="tx1"/>
                  </w14:solidFill>
                </w14:textFill>
              </w:rPr>
              <w:t>4</w:t>
            </w:r>
          </w:p>
        </w:tc>
      </w:tr>
    </w:tbl>
    <w:p w14:paraId="53F8F143">
      <w:pPr>
        <w:keepNext w:val="0"/>
        <w:keepLines w:val="0"/>
        <w:pageBreakBefore w:val="0"/>
        <w:widowControl w:val="0"/>
        <w:kinsoku/>
        <w:wordWrap/>
        <w:overflowPunct/>
        <w:topLinePunct w:val="0"/>
        <w:autoSpaceDE/>
        <w:autoSpaceDN/>
        <w:bidi w:val="0"/>
        <w:adjustRightInd/>
        <w:snapToGrid w:val="0"/>
        <w:spacing w:line="240" w:lineRule="auto"/>
        <w:ind w:firstLine="210" w:firstLineChars="10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A.稀释涂布平板法得到的鸡蛋表面菌落数比实际数略少</w:t>
      </w:r>
    </w:p>
    <w:p w14:paraId="03AB5492">
      <w:pPr>
        <w:keepNext w:val="0"/>
        <w:keepLines w:val="0"/>
        <w:pageBreakBefore w:val="0"/>
        <w:widowControl w:val="0"/>
        <w:kinsoku/>
        <w:wordWrap/>
        <w:overflowPunct/>
        <w:topLinePunct w:val="0"/>
        <w:autoSpaceDE/>
        <w:autoSpaceDN/>
        <w:bidi w:val="0"/>
        <w:adjustRightInd/>
        <w:snapToGrid w:val="0"/>
        <w:spacing w:line="240" w:lineRule="auto"/>
        <w:ind w:firstLine="210" w:firstLineChars="10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B. 表中数据是对清洗液稀释1×10</w:t>
      </w:r>
      <w:r>
        <w:rPr>
          <w:rFonts w:hint="eastAsia" w:ascii="宋体" w:hAnsi="宋体" w:eastAsia="宋体" w:cs="宋体"/>
          <w:color w:val="000000" w:themeColor="text1"/>
          <w:sz w:val="21"/>
          <w:szCs w:val="21"/>
          <w:vertAlign w:val="superscript"/>
          <w:lang w:val="en-US" w:eastAsia="zh-CN"/>
          <w14:textFill>
            <w14:solidFill>
              <w14:schemeClr w14:val="tx1"/>
            </w14:solidFill>
          </w14:textFill>
        </w:rPr>
        <w:t>3</w:t>
      </w:r>
      <w:r>
        <w:rPr>
          <w:rFonts w:hint="eastAsia" w:ascii="宋体" w:hAnsi="宋体" w:eastAsia="宋体" w:cs="宋体"/>
          <w:color w:val="000000" w:themeColor="text1"/>
          <w:sz w:val="21"/>
          <w:szCs w:val="21"/>
          <w:lang w:val="en-US" w:eastAsia="zh-CN"/>
          <w14:textFill>
            <w14:solidFill>
              <w14:schemeClr w14:val="tx1"/>
            </w14:solidFill>
          </w14:textFill>
        </w:rPr>
        <w:t>倍后涂布平板获得的</w:t>
      </w:r>
    </w:p>
    <w:p w14:paraId="5821C71F">
      <w:pPr>
        <w:keepNext w:val="0"/>
        <w:keepLines w:val="0"/>
        <w:pageBreakBefore w:val="0"/>
        <w:widowControl w:val="0"/>
        <w:kinsoku/>
        <w:wordWrap/>
        <w:overflowPunct/>
        <w:topLinePunct w:val="0"/>
        <w:autoSpaceDE/>
        <w:autoSpaceDN/>
        <w:bidi w:val="0"/>
        <w:adjustRightInd/>
        <w:snapToGrid w:val="0"/>
        <w:spacing w:line="240" w:lineRule="auto"/>
        <w:ind w:firstLine="210" w:firstLineChars="10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C. 比较两种养殖模式可知鸡蛋表面的细菌主要来自环境</w:t>
      </w:r>
    </w:p>
    <w:p w14:paraId="097F73E6">
      <w:pPr>
        <w:keepNext w:val="0"/>
        <w:keepLines w:val="0"/>
        <w:pageBreakBefore w:val="0"/>
        <w:widowControl w:val="0"/>
        <w:kinsoku/>
        <w:wordWrap/>
        <w:overflowPunct/>
        <w:topLinePunct w:val="0"/>
        <w:autoSpaceDE/>
        <w:autoSpaceDN/>
        <w:bidi w:val="0"/>
        <w:adjustRightInd/>
        <w:snapToGrid w:val="0"/>
        <w:spacing w:line="240" w:lineRule="auto"/>
        <w:ind w:firstLine="210" w:firstLineChars="100"/>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D. 冬季鸡舍更需要</w:t>
      </w:r>
      <w:r>
        <w:rPr>
          <w:rFonts w:hint="eastAsia" w:ascii="宋体" w:hAnsi="宋体" w:eastAsia="宋体" w:cs="宋体"/>
          <w:color w:val="000000" w:themeColor="text1"/>
          <w:sz w:val="21"/>
          <w:szCs w:val="21"/>
          <w14:textFill>
            <w14:solidFill>
              <w14:schemeClr w14:val="tx1"/>
            </w14:solidFill>
          </w14:textFill>
        </w:rPr>
        <w:t>消毒以减少鸡蛋表面的细菌污染</w:t>
      </w:r>
    </w:p>
    <w:p w14:paraId="6252B7B0">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三、</w:t>
      </w:r>
      <w:r>
        <w:rPr>
          <w:rFonts w:hint="eastAsia" w:ascii="宋体" w:hAnsi="宋体" w:cs="宋体"/>
          <w:color w:val="000000" w:themeColor="text1"/>
          <w:sz w:val="21"/>
          <w:szCs w:val="21"/>
          <w:lang w:val="en-US" w:eastAsia="zh-CN"/>
          <w14:textFill>
            <w14:solidFill>
              <w14:schemeClr w14:val="tx1"/>
            </w14:solidFill>
          </w14:textFill>
        </w:rPr>
        <w:t>简答</w:t>
      </w:r>
      <w:r>
        <w:rPr>
          <w:rFonts w:hint="eastAsia" w:ascii="宋体" w:hAnsi="宋体" w:eastAsia="宋体" w:cs="宋体"/>
          <w:color w:val="000000" w:themeColor="text1"/>
          <w:sz w:val="21"/>
          <w:szCs w:val="21"/>
          <w14:textFill>
            <w14:solidFill>
              <w14:schemeClr w14:val="tx1"/>
            </w14:solidFill>
          </w14:textFill>
        </w:rPr>
        <w:t>题：本部分包括5题，共计60分。</w:t>
      </w:r>
    </w:p>
    <w:p w14:paraId="086C5EE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20</w:t>
      </w:r>
      <w:r>
        <w:rPr>
          <w:rFonts w:hint="eastAsia" w:ascii="宋体" w:hAnsi="宋体" w:eastAsia="宋体" w:cs="宋体"/>
          <w:color w:val="000000" w:themeColor="text1"/>
          <w:sz w:val="21"/>
          <w:szCs w:val="21"/>
          <w:lang w:val="en-US" w:eastAsia="zh-CN"/>
          <w14:textFill>
            <w14:solidFill>
              <w14:schemeClr w14:val="tx1"/>
            </w14:solidFill>
          </w14:textFill>
        </w:rPr>
        <w:t>.（12分）</w:t>
      </w:r>
      <w:r>
        <w:rPr>
          <w:rFonts w:hint="eastAsia" w:ascii="宋体" w:hAnsi="宋体" w:eastAsia="宋体" w:cs="宋体"/>
          <w:color w:val="000000" w:themeColor="text1"/>
          <w:sz w:val="21"/>
          <w:szCs w:val="21"/>
          <w14:textFill>
            <w14:solidFill>
              <w14:schemeClr w14:val="tx1"/>
            </w14:solidFill>
          </w14:textFill>
        </w:rPr>
        <w:t>部分厌氧菌缺乏处理氧自由基的酶，可进行不产氧光合作用，避免氧气产生的氧自由基对自身的伤害。下图1和图2是两种厌氧菌的光反应过程示意图，据图回答下列问题：</w:t>
      </w:r>
    </w:p>
    <w:p w14:paraId="577A869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strike w:val="0"/>
          <w:color w:val="000000" w:themeColor="text1"/>
          <w:kern w:val="0"/>
          <w:sz w:val="21"/>
          <w:szCs w:val="21"/>
          <w:u w:val="none"/>
          <w14:textFill>
            <w14:solidFill>
              <w14:schemeClr w14:val="tx1"/>
            </w14:solidFill>
          </w14:textFill>
        </w:rPr>
      </w:pPr>
      <w:r>
        <w:rPr>
          <w:rFonts w:hint="eastAsia" w:ascii="宋体" w:hAnsi="宋体" w:eastAsia="宋体" w:cs="宋体"/>
          <w:strike w:val="0"/>
          <w:color w:val="000000" w:themeColor="text1"/>
          <w:kern w:val="0"/>
          <w:sz w:val="21"/>
          <w:szCs w:val="21"/>
          <w:u w:val="none"/>
          <w14:textFill>
            <w14:solidFill>
              <w14:schemeClr w14:val="tx1"/>
            </w14:solidFill>
          </w14:textFill>
        </w:rPr>
        <w:drawing>
          <wp:inline distT="0" distB="0" distL="114300" distR="114300">
            <wp:extent cx="5455285" cy="1869440"/>
            <wp:effectExtent l="0" t="0" r="5715" b="10160"/>
            <wp:docPr id="4" name="图片 9" descr="@@@84f3d1c6-29b2-48f0-a3cc-d16888e7ab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84f3d1c6-29b2-48f0-a3cc-d16888e7ab1c"/>
                    <pic:cNvPicPr>
                      <a:picLocks noChangeAspect="1"/>
                    </pic:cNvPicPr>
                  </pic:nvPicPr>
                  <pic:blipFill>
                    <a:blip r:embed="rId22"/>
                    <a:stretch>
                      <a:fillRect/>
                    </a:stretch>
                  </pic:blipFill>
                  <pic:spPr>
                    <a:xfrm>
                      <a:off x="0" y="0"/>
                      <a:ext cx="5455285" cy="1869440"/>
                    </a:xfrm>
                    <a:prstGeom prst="rect">
                      <a:avLst/>
                    </a:prstGeom>
                    <a:noFill/>
                    <a:ln>
                      <a:noFill/>
                    </a:ln>
                  </pic:spPr>
                </pic:pic>
              </a:graphicData>
            </a:graphic>
          </wp:inline>
        </w:drawing>
      </w:r>
    </w:p>
    <w:p w14:paraId="673BE71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cs="宋体"/>
          <w:color w:val="000000" w:themeColor="text1"/>
          <w:sz w:val="21"/>
          <w:szCs w:val="21"/>
          <w:u w:val="single"/>
          <w:lang w:val="en-US"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图中的光合片层功能上相当于高等植物的____________膜，菌绿素与____________共同组成复合体，吸收、传递与转化光能，高等植物中与菌绿素功能类似的物质是__________</w:t>
      </w:r>
    </w:p>
    <w:p w14:paraId="65F738C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____________________________________________________________。</w:t>
      </w:r>
    </w:p>
    <w:p w14:paraId="4B92927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color w:val="000000" w:themeColor="text1"/>
          <w:sz w:val="21"/>
          <w:szCs w:val="21"/>
          <w:u w:val="single"/>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图1中，ATP合酶以______________方式运输H</w:t>
      </w:r>
      <w:r>
        <w:rPr>
          <w:rFonts w:hint="eastAsia" w:ascii="宋体" w:hAnsi="宋体" w:eastAsia="宋体" w:cs="宋体"/>
          <w:color w:val="000000" w:themeColor="text1"/>
          <w:sz w:val="21"/>
          <w:szCs w:val="21"/>
          <w:vertAlign w:val="superscript"/>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，并利用H</w:t>
      </w:r>
      <w:r>
        <w:rPr>
          <w:rFonts w:hint="eastAsia" w:ascii="宋体" w:hAnsi="宋体" w:eastAsia="宋体" w:cs="宋体"/>
          <w:color w:val="000000" w:themeColor="text1"/>
          <w:sz w:val="21"/>
          <w:szCs w:val="21"/>
          <w:vertAlign w:val="superscript"/>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浓度差为能量合成ATP，H</w:t>
      </w:r>
      <w:r>
        <w:rPr>
          <w:rFonts w:hint="eastAsia" w:ascii="宋体" w:hAnsi="宋体" w:eastAsia="宋体" w:cs="宋体"/>
          <w:color w:val="000000" w:themeColor="text1"/>
          <w:sz w:val="21"/>
          <w:szCs w:val="21"/>
          <w:vertAlign w:val="superscript"/>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浓度差形成的原因包括____________提供能量进行H</w:t>
      </w:r>
      <w:r>
        <w:rPr>
          <w:rFonts w:hint="eastAsia" w:ascii="宋体" w:hAnsi="宋体" w:eastAsia="宋体" w:cs="宋体"/>
          <w:color w:val="000000" w:themeColor="text1"/>
          <w:sz w:val="21"/>
          <w:szCs w:val="21"/>
          <w:vertAlign w:val="superscript"/>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的跨膜运输，也包括________________</w:t>
      </w:r>
    </w:p>
    <w:p w14:paraId="0F3837C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______________________________________________________________________。</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2分</w:t>
      </w:r>
      <w:r>
        <w:rPr>
          <w:rFonts w:hint="eastAsia" w:ascii="宋体" w:hAnsi="宋体" w:eastAsia="宋体" w:cs="宋体"/>
          <w:color w:val="000000" w:themeColor="text1"/>
          <w:sz w:val="21"/>
          <w:szCs w:val="21"/>
          <w:lang w:eastAsia="zh-CN"/>
          <w14:textFill>
            <w14:solidFill>
              <w14:schemeClr w14:val="tx1"/>
            </w14:solidFill>
          </w14:textFill>
        </w:rPr>
        <w:t>）</w:t>
      </w:r>
    </w:p>
    <w:p w14:paraId="2AA0C6B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3</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研究发现，绿硫细菌缺乏处理氧自由基的酶。从图1光反应过程看，与高等植物的光反应过程是主要的区别是____________________________________________，这种区别对绿硫细菌的意义是______________________________________________________________。</w:t>
      </w:r>
    </w:p>
    <w:p w14:paraId="414F1B6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color w:val="000000" w:themeColor="text1"/>
          <w:sz w:val="21"/>
          <w:szCs w:val="21"/>
          <w:u w:val="single"/>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4</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分析图1和图2，</w:t>
      </w:r>
      <w:r>
        <w:rPr>
          <w:rFonts w:hint="eastAsia" w:ascii="宋体" w:hAnsi="宋体" w:eastAsia="宋体" w:cs="宋体"/>
          <w:color w:val="000000" w:themeColor="text1"/>
          <w:sz w:val="21"/>
          <w:szCs w:val="21"/>
          <w14:textFill>
            <w14:solidFill>
              <w14:schemeClr w14:val="tx1"/>
            </w14:solidFill>
          </w14:textFill>
        </w:rPr>
        <w:t>绿硫细菌相比紫色非硫细菌在光反应上的优势是________________</w:t>
      </w:r>
    </w:p>
    <w:p w14:paraId="757FF0B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__________________________________________________________________。</w:t>
      </w:r>
    </w:p>
    <w:p w14:paraId="6EF0979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5</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绿硫细菌暗反应过程也不同于高等植物，为特殊的逆向TCA循环，如图3所示（图中省略了ADP、Pi等部分物质）。据图分析下列说法正确的有______________。</w:t>
      </w:r>
    </w:p>
    <w:p w14:paraId="2B4B628E">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①绿硫细菌的光反应通过提供ATP和NADPH，为逆向TCA循环提供能量；</w:t>
      </w:r>
    </w:p>
    <w:p w14:paraId="57D16056">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②逆向TCA循环除了可以合成糖类外，还可以为绿硫细菌各种合成代谢提供原料</w:t>
      </w:r>
      <w:r>
        <w:rPr>
          <w:rFonts w:hint="eastAsia" w:ascii="宋体" w:hAnsi="宋体" w:eastAsia="宋体" w:cs="宋体"/>
          <w:color w:val="000000" w:themeColor="text1"/>
          <w:sz w:val="21"/>
          <w:szCs w:val="21"/>
          <w:lang w:eastAsia="zh-CN"/>
          <w14:textFill>
            <w14:solidFill>
              <w14:schemeClr w14:val="tx1"/>
            </w14:solidFill>
          </w14:textFill>
        </w:rPr>
        <w:t>；</w:t>
      </w:r>
    </w:p>
    <w:p w14:paraId="2561EB9B">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③若向绿硫细菌培养基中添加</w:t>
      </w:r>
      <w:r>
        <w:rPr>
          <w:rFonts w:hint="eastAsia" w:ascii="宋体" w:hAnsi="宋体" w:eastAsia="宋体" w:cs="宋体"/>
          <w:color w:val="000000" w:themeColor="text1"/>
          <w:sz w:val="21"/>
          <w:szCs w:val="21"/>
          <w:vertAlign w:val="superscript"/>
          <w14:textFill>
            <w14:solidFill>
              <w14:schemeClr w14:val="tx1"/>
            </w14:solidFill>
          </w14:textFill>
        </w:rPr>
        <w:t>14</w:t>
      </w:r>
      <w:r>
        <w:rPr>
          <w:rFonts w:hint="eastAsia" w:ascii="宋体" w:hAnsi="宋体" w:eastAsia="宋体" w:cs="宋体"/>
          <w:color w:val="000000" w:themeColor="text1"/>
          <w:sz w:val="21"/>
          <w:szCs w:val="21"/>
          <w14:textFill>
            <w14:solidFill>
              <w14:schemeClr w14:val="tx1"/>
            </w14:solidFill>
          </w14:textFill>
        </w:rPr>
        <w:t>C标记的α-酮戊二酸，最先出现放射性的物质是琥珀酸（除α-酮戊二酸自身外）；</w:t>
      </w:r>
    </w:p>
    <w:p w14:paraId="3AC63122">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④在不干扰循环正常进行的情况下，绿硫细菌合成一分子己糖，至少需要消耗6分子CO</w:t>
      </w:r>
      <w:r>
        <w:rPr>
          <w:rFonts w:hint="eastAsia" w:ascii="宋体" w:hAnsi="宋体" w:eastAsia="宋体" w:cs="宋体"/>
          <w:color w:val="000000" w:themeColor="text1"/>
          <w:sz w:val="21"/>
          <w:szCs w:val="21"/>
          <w:vertAlign w:val="subscript"/>
          <w14:textFill>
            <w14:solidFill>
              <w14:schemeClr w14:val="tx1"/>
            </w14:solidFill>
          </w14:textFill>
        </w:rPr>
        <w:t>2</w:t>
      </w:r>
      <w:r>
        <w:rPr>
          <w:rFonts w:hint="eastAsia" w:ascii="宋体" w:hAnsi="宋体" w:eastAsia="宋体" w:cs="宋体"/>
          <w:color w:val="000000" w:themeColor="text1"/>
          <w:sz w:val="21"/>
          <w:szCs w:val="21"/>
          <w:vertAlign w:val="subscript"/>
          <w:lang w:eastAsia="zh-CN"/>
          <w14:textFill>
            <w14:solidFill>
              <w14:schemeClr w14:val="tx1"/>
            </w14:solidFill>
          </w14:textFill>
        </w:rPr>
        <w:t>。</w:t>
      </w:r>
    </w:p>
    <w:p w14:paraId="7B58FEDC">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trike w:val="0"/>
          <w:color w:val="000000" w:themeColor="text1"/>
          <w:kern w:val="0"/>
          <w:sz w:val="21"/>
          <w:szCs w:val="21"/>
          <w:u w:val="none"/>
          <w14:textFill>
            <w14:solidFill>
              <w14:schemeClr w14:val="tx1"/>
            </w14:solidFill>
          </w14:textFill>
        </w:rPr>
        <w:drawing>
          <wp:inline distT="0" distB="0" distL="114300" distR="114300">
            <wp:extent cx="4081145" cy="2221865"/>
            <wp:effectExtent l="0" t="0" r="8255" b="635"/>
            <wp:docPr id="2" name="图片 100009" descr="@@@f71233e4-e56a-4e52-be34-4578a5e3c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0009" descr="@@@f71233e4-e56a-4e52-be34-4578a5e3c271"/>
                    <pic:cNvPicPr>
                      <a:picLocks noChangeAspect="1"/>
                    </pic:cNvPicPr>
                  </pic:nvPicPr>
                  <pic:blipFill>
                    <a:blip r:embed="rId23"/>
                    <a:stretch>
                      <a:fillRect/>
                    </a:stretch>
                  </pic:blipFill>
                  <pic:spPr>
                    <a:xfrm>
                      <a:off x="0" y="0"/>
                      <a:ext cx="4081145" cy="2221865"/>
                    </a:xfrm>
                    <a:prstGeom prst="rect">
                      <a:avLst/>
                    </a:prstGeom>
                    <a:noFill/>
                    <a:ln>
                      <a:noFill/>
                    </a:ln>
                  </pic:spPr>
                </pic:pic>
              </a:graphicData>
            </a:graphic>
          </wp:inline>
        </w:drawing>
      </w:r>
    </w:p>
    <w:p w14:paraId="4F94A8C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.（12分）</w:t>
      </w:r>
      <w:r>
        <w:rPr>
          <w:rFonts w:hint="eastAsia" w:ascii="宋体" w:hAnsi="宋体" w:eastAsia="宋体" w:cs="宋体"/>
          <w:color w:val="000000" w:themeColor="text1"/>
          <w:sz w:val="21"/>
          <w:szCs w:val="21"/>
          <w14:textFill>
            <w14:solidFill>
              <w14:schemeClr w14:val="tx1"/>
            </w14:solidFill>
          </w14:textFill>
        </w:rPr>
        <w:t>肥胖不仅会引起胰岛素抵抗，而且还会引起认知功能障碍，下图表示相关机制。已知肥胖导致外周产生过多游离的脂肪酸FFA、脂多糖LPS和炎症细胞因子TNF-α、IL-6等，透过血脑屏障作用于神经细胞。大量脂质进入细胞氧化会诱导线粒体产生过多自由基和膜脂氧化剂MDA。同时，NF-kB信号通路的激活也抑制了胰岛素受体的磷酸化，一系列因素导致脑内神经细胞中胰岛素信号传导功能减弱并发生胰岛素抵抗。请回答：</w:t>
      </w:r>
    </w:p>
    <w:p w14:paraId="5073C244">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宋体" w:hAnsi="宋体" w:eastAsia="宋体" w:cs="宋体"/>
          <w:strike w:val="0"/>
          <w:color w:val="000000" w:themeColor="text1"/>
          <w:kern w:val="0"/>
          <w:sz w:val="21"/>
          <w:szCs w:val="21"/>
          <w:u w:val="none"/>
          <w14:textFill>
            <w14:solidFill>
              <w14:schemeClr w14:val="tx1"/>
            </w14:solidFill>
          </w14:textFill>
        </w:rPr>
      </w:pPr>
      <w:r>
        <w:rPr>
          <w:rFonts w:hint="eastAsia" w:ascii="宋体" w:hAnsi="宋体" w:eastAsia="宋体" w:cs="宋体"/>
          <w:strike w:val="0"/>
          <w:color w:val="000000" w:themeColor="text1"/>
          <w:kern w:val="0"/>
          <w:sz w:val="21"/>
          <w:szCs w:val="21"/>
          <w:u w:val="none"/>
          <w14:textFill>
            <w14:solidFill>
              <w14:schemeClr w14:val="tx1"/>
            </w14:solidFill>
          </w14:textFill>
        </w:rPr>
        <w:drawing>
          <wp:inline distT="0" distB="0" distL="114300" distR="114300">
            <wp:extent cx="4444365" cy="2501265"/>
            <wp:effectExtent l="0" t="0" r="635" b="635"/>
            <wp:docPr id="22" name="图片 10" descr="@@@852da52e-5111-45ad-8e5c-c6950f67a9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descr="@@@852da52e-5111-45ad-8e5c-c6950f67a91b"/>
                    <pic:cNvPicPr>
                      <a:picLocks noChangeAspect="1"/>
                    </pic:cNvPicPr>
                  </pic:nvPicPr>
                  <pic:blipFill>
                    <a:blip r:embed="rId24">
                      <a:lum bright="12000"/>
                    </a:blip>
                    <a:stretch>
                      <a:fillRect/>
                    </a:stretch>
                  </pic:blipFill>
                  <pic:spPr>
                    <a:xfrm>
                      <a:off x="0" y="0"/>
                      <a:ext cx="4444365" cy="2501265"/>
                    </a:xfrm>
                    <a:prstGeom prst="rect">
                      <a:avLst/>
                    </a:prstGeom>
                    <a:noFill/>
                    <a:ln>
                      <a:noFill/>
                    </a:ln>
                  </pic:spPr>
                </pic:pic>
              </a:graphicData>
            </a:graphic>
          </wp:inline>
        </w:drawing>
      </w:r>
    </w:p>
    <w:p w14:paraId="23EC8DC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正常情况下，胰岛素与神经细胞上的受体结合后引起受体</w:t>
      </w:r>
      <w:r>
        <w:rPr>
          <w:rFonts w:hint="eastAsia" w:ascii="宋体" w:hAnsi="宋体" w:eastAsia="宋体" w:cs="宋体"/>
          <w:color w:val="000000" w:themeColor="text1"/>
          <w:sz w:val="21"/>
          <w:szCs w:val="21"/>
          <w:lang w:val="en-US" w:eastAsia="zh-CN"/>
          <w14:textFill>
            <w14:solidFill>
              <w14:schemeClr w14:val="tx1"/>
            </w14:solidFill>
          </w14:textFill>
        </w:rPr>
        <w:t>________________</w:t>
      </w:r>
      <w:r>
        <w:rPr>
          <w:rFonts w:hint="eastAsia" w:ascii="宋体" w:hAnsi="宋体" w:eastAsia="宋体" w:cs="宋体"/>
          <w:color w:val="000000" w:themeColor="text1"/>
          <w:sz w:val="21"/>
          <w:szCs w:val="21"/>
          <w14:textFill>
            <w14:solidFill>
              <w14:schemeClr w14:val="tx1"/>
            </w14:solidFill>
          </w14:textFill>
        </w:rPr>
        <w:t>从而引发信号转导，进一步促进</w:t>
      </w:r>
      <w:r>
        <w:rPr>
          <w:rFonts w:hint="eastAsia" w:ascii="宋体" w:hAnsi="宋体" w:eastAsia="宋体" w:cs="宋体"/>
          <w:b w:val="0"/>
          <w:color w:val="000000" w:themeColor="text1"/>
          <w:sz w:val="21"/>
          <w:szCs w:val="21"/>
          <w:u w:val="single"/>
          <w14:textFill>
            <w14:solidFill>
              <w14:schemeClr w14:val="tx1"/>
            </w14:solidFill>
          </w14:textFill>
        </w:rPr>
        <w:t xml:space="preserve">   </w:t>
      </w:r>
      <w:r>
        <w:rPr>
          <w:rFonts w:hint="eastAsia" w:ascii="宋体" w:hAnsi="宋体" w:cs="宋体"/>
          <w:b w:val="0"/>
          <w:color w:val="000000" w:themeColor="text1"/>
          <w:sz w:val="21"/>
          <w:szCs w:val="21"/>
          <w:u w:val="single"/>
          <w:lang w:val="en-US" w:eastAsia="zh-CN"/>
          <w14:textFill>
            <w14:solidFill>
              <w14:schemeClr w14:val="tx1"/>
            </w14:solidFill>
          </w14:textFill>
        </w:rPr>
        <w:t xml:space="preserve">                        </w:t>
      </w:r>
      <w:r>
        <w:rPr>
          <w:rFonts w:hint="eastAsia" w:ascii="宋体" w:hAnsi="宋体" w:eastAsia="宋体" w:cs="宋体"/>
          <w:b w:val="0"/>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，从而降低血糖。</w:t>
      </w:r>
    </w:p>
    <w:p w14:paraId="4A132A9F">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strike w:val="0"/>
          <w:color w:val="000000" w:themeColor="text1"/>
          <w:kern w:val="0"/>
          <w:sz w:val="21"/>
          <w:szCs w:val="21"/>
          <w:u w:val="none"/>
          <w:lang w:val="en-US" w:eastAsia="zh-CN"/>
          <w14:textFill>
            <w14:solidFill>
              <w14:schemeClr w14:val="tx1"/>
            </w14:solidFill>
          </w14:textFill>
        </w:rPr>
      </w:pPr>
      <w:r>
        <w:rPr>
          <w:rFonts w:hint="eastAsia" w:ascii="宋体" w:hAnsi="宋体" w:eastAsia="宋体" w:cs="宋体"/>
          <w:strike w:val="0"/>
          <w:color w:val="000000" w:themeColor="text1"/>
          <w:kern w:val="0"/>
          <w:sz w:val="21"/>
          <w:szCs w:val="21"/>
          <w:u w:val="none"/>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据图可知神经细胞膜的功能有__</w:t>
      </w:r>
      <w:r>
        <w:rPr>
          <w:rFonts w:hint="eastAsia" w:ascii="宋体" w:hAnsi="宋体" w:eastAsia="宋体" w:cs="宋体"/>
          <w:color w:val="000000" w:themeColor="text1"/>
          <w:sz w:val="21"/>
          <w:szCs w:val="21"/>
          <w:lang w:val="en-US" w:eastAsia="zh-CN"/>
          <w14:textFill>
            <w14:solidFill>
              <w14:schemeClr w14:val="tx1"/>
            </w14:solidFill>
          </w14:textFill>
        </w:rPr>
        <w:t>_____________________________________</w:t>
      </w:r>
      <w:r>
        <w:rPr>
          <w:rFonts w:hint="eastAsia" w:ascii="宋体" w:hAnsi="宋体" w:eastAsia="宋体" w:cs="宋体"/>
          <w:color w:val="000000" w:themeColor="text1"/>
          <w:sz w:val="21"/>
          <w:szCs w:val="21"/>
          <w14:textFill>
            <w14:solidFill>
              <w14:schemeClr w14:val="tx1"/>
            </w14:solidFill>
          </w14:textFill>
        </w:rPr>
        <w:t>____</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2分</w:t>
      </w:r>
      <w:r>
        <w:rPr>
          <w:rFonts w:hint="eastAsia" w:ascii="宋体" w:hAnsi="宋体" w:eastAsia="宋体" w:cs="宋体"/>
          <w:color w:val="000000" w:themeColor="text1"/>
          <w:sz w:val="21"/>
          <w:szCs w:val="21"/>
          <w:lang w:eastAsia="zh-CN"/>
          <w14:textFill>
            <w14:solidFill>
              <w14:schemeClr w14:val="tx1"/>
            </w14:solidFill>
          </w14:textFill>
        </w:rPr>
        <w:t>）。</w:t>
      </w:r>
    </w:p>
    <w:p w14:paraId="1C50AC8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cs="宋体"/>
          <w:color w:val="000000" w:themeColor="text1"/>
          <w:sz w:val="21"/>
          <w:szCs w:val="21"/>
          <w:u w:val="single"/>
          <w:lang w:val="en-US" w:eastAsia="zh-CN"/>
          <w14:textFill>
            <w14:solidFill>
              <w14:schemeClr w14:val="tx1"/>
            </w14:solidFill>
          </w14:textFill>
        </w:rPr>
      </w:pPr>
      <w:r>
        <w:rPr>
          <w:rFonts w:hint="eastAsia" w:ascii="宋体" w:hAnsi="宋体" w:eastAsia="宋体" w:cs="宋体"/>
          <w:strike w:val="0"/>
          <w:color w:val="000000" w:themeColor="text1"/>
          <w:kern w:val="0"/>
          <w:sz w:val="21"/>
          <w:szCs w:val="21"/>
          <w:u w:val="none"/>
          <w:lang w:val="en-US" w:eastAsia="zh-CN"/>
          <w14:textFill>
            <w14:solidFill>
              <w14:schemeClr w14:val="tx1"/>
            </w14:solidFill>
          </w14:textFill>
        </w:rPr>
        <w:t>（3）</w:t>
      </w:r>
      <w:r>
        <w:rPr>
          <w:rFonts w:hint="eastAsia" w:ascii="宋体" w:hAnsi="宋体" w:eastAsia="宋体" w:cs="宋体"/>
          <w:color w:val="000000" w:themeColor="text1"/>
          <w:sz w:val="21"/>
          <w:szCs w:val="21"/>
          <w14:textFill>
            <w14:solidFill>
              <w14:schemeClr w14:val="tx1"/>
            </w14:solidFill>
          </w14:textFill>
        </w:rPr>
        <w:t>LPS与受体TLR结合后会促进JNK的表达，引发胰岛素抵抗。TNF-α、IL-6会促进____</w:t>
      </w:r>
      <w:r>
        <w:rPr>
          <w:rFonts w:hint="eastAsia" w:ascii="宋体" w:hAnsi="宋体" w:cs="宋体"/>
          <w:color w:val="000000" w:themeColor="text1"/>
          <w:sz w:val="21"/>
          <w:szCs w:val="21"/>
          <w:u w:val="single"/>
          <w:lang w:val="en-US" w:eastAsia="zh-CN"/>
          <w14:textFill>
            <w14:solidFill>
              <w14:schemeClr w14:val="tx1"/>
            </w14:solidFill>
          </w14:textFill>
        </w:rPr>
        <w:t xml:space="preserve"> </w:t>
      </w:r>
    </w:p>
    <w:p w14:paraId="205A9F5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________________________</w:t>
      </w:r>
      <w:r>
        <w:rPr>
          <w:rFonts w:hint="eastAsia" w:ascii="宋体" w:hAnsi="宋体" w:eastAsia="宋体" w:cs="宋体"/>
          <w:color w:val="000000" w:themeColor="text1"/>
          <w:sz w:val="21"/>
          <w:szCs w:val="21"/>
          <w14:textFill>
            <w14:solidFill>
              <w14:schemeClr w14:val="tx1"/>
            </w14:solidFill>
          </w14:textFill>
        </w:rPr>
        <w:t>分解，从而激活NF-kB信号通路引发胰岛素抵抗。</w:t>
      </w:r>
    </w:p>
    <w:p w14:paraId="540BF32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cs="宋体"/>
          <w:color w:val="000000" w:themeColor="text1"/>
          <w:sz w:val="21"/>
          <w:szCs w:val="21"/>
          <w:u w:val="single"/>
          <w:lang w:val="en-US"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4</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大量游离的脂肪酸进入神经细胞的线粒体氧化分解导致认知功能障碍的原因是______</w:t>
      </w:r>
    </w:p>
    <w:p w14:paraId="2E998B0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________________________________________________________________________</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2分</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w:t>
      </w:r>
    </w:p>
    <w:p w14:paraId="769FEA8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5</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前期的研究发现高强度间歇训练能有效改善2型糖尿病小鼠的胰岛素抵抗状态，科学家推测高强度间歇训练可能是通过改变肝脏炎症来缓解胰岛素抵抗，科研人员进行了如下研究，研究主要步骤见下表，请补全表格：</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408"/>
        <w:gridCol w:w="7223"/>
      </w:tblGrid>
      <w:tr w14:paraId="03360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99771C">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实验步骤</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A704C5">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简要的操作流程</w:t>
            </w:r>
          </w:p>
        </w:tc>
      </w:tr>
      <w:tr w14:paraId="19F5F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FA65052">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适应性培养及初步分组</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78D42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将30只5周龄雄性小鼠适应性喂养一周。将上述小鼠分为对照组（NC）和高脂饮食模型组（HFD）。NC组饲喂普通饲料12周；HFD组饲喂高脂饲料12周。</w:t>
            </w:r>
          </w:p>
        </w:tc>
      </w:tr>
      <w:tr w14:paraId="4E04A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6CE4F2C">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胰岛素抵抗小鼠模型建立</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A86443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给HFD组腹腔注射链脲佐菌素，通过检测①</w:t>
            </w:r>
            <w:r>
              <w:rPr>
                <w:rFonts w:hint="eastAsia" w:ascii="宋体" w:hAnsi="宋体" w:eastAsia="宋体" w:cs="宋体"/>
                <w:b w:val="0"/>
                <w:color w:val="000000" w:themeColor="text1"/>
                <w:sz w:val="21"/>
                <w:szCs w:val="21"/>
                <w:u w:val="single"/>
                <w14:textFill>
                  <w14:solidFill>
                    <w14:schemeClr w14:val="tx1"/>
                  </w14:solidFill>
                </w14:textFill>
              </w:rPr>
              <w:t xml:space="preserve">   </w:t>
            </w:r>
            <w:r>
              <w:rPr>
                <w:rFonts w:hint="eastAsia" w:ascii="宋体" w:hAnsi="宋体" w:cs="宋体"/>
                <w:color w:val="000000" w:themeColor="text1"/>
                <w:sz w:val="21"/>
                <w:szCs w:val="21"/>
                <w:u w:val="single"/>
                <w:lang w:val="en-US" w:eastAsia="zh-CN"/>
                <w14:textFill>
                  <w14:solidFill>
                    <w14:schemeClr w14:val="tx1"/>
                  </w14:solidFill>
                </w14:textFill>
              </w:rPr>
              <w:t xml:space="preserve">                    </w:t>
            </w:r>
            <w:r>
              <w:rPr>
                <w:rFonts w:hint="eastAsia" w:ascii="宋体" w:hAnsi="宋体" w:eastAsia="宋体" w:cs="宋体"/>
                <w:b w:val="0"/>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等筛选胰岛素抵抗模型建立成功的小鼠。</w:t>
            </w:r>
          </w:p>
        </w:tc>
      </w:tr>
      <w:tr w14:paraId="198D6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753F42D">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实验再分组</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38118D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再将建模成功的小鼠随机分为安静组（SED）和高强度间歇训练组（HIIT）。</w:t>
            </w:r>
          </w:p>
        </w:tc>
      </w:tr>
      <w:tr w14:paraId="673A2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73F40ED">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运动训练</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AE93A1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HIIT组进行8周高强度间歇性训练。运动期间②</w:t>
            </w:r>
            <w:r>
              <w:rPr>
                <w:rFonts w:hint="eastAsia" w:ascii="宋体" w:hAnsi="宋体" w:eastAsia="宋体" w:cs="宋体"/>
                <w:b w:val="0"/>
                <w:color w:val="000000" w:themeColor="text1"/>
                <w:sz w:val="21"/>
                <w:szCs w:val="21"/>
                <w:u w:val="single"/>
                <w14:textFill>
                  <w14:solidFill>
                    <w14:schemeClr w14:val="tx1"/>
                  </w14:solidFill>
                </w14:textFill>
              </w:rPr>
              <w:t xml:space="preserve">   </w:t>
            </w:r>
            <w:r>
              <w:rPr>
                <w:rFonts w:hint="eastAsia" w:ascii="宋体" w:hAnsi="宋体" w:cs="宋体"/>
                <w:color w:val="000000" w:themeColor="text1"/>
                <w:sz w:val="21"/>
                <w:szCs w:val="21"/>
                <w:u w:val="single"/>
                <w:lang w:val="en-US" w:eastAsia="zh-CN"/>
                <w14:textFill>
                  <w14:solidFill>
                    <w14:schemeClr w14:val="tx1"/>
                  </w14:solidFill>
                </w14:textFill>
              </w:rPr>
              <w:t xml:space="preserve">                </w:t>
            </w:r>
            <w:r>
              <w:rPr>
                <w:rFonts w:hint="eastAsia" w:ascii="宋体" w:hAnsi="宋体" w:eastAsia="宋体" w:cs="宋体"/>
                <w:b w:val="0"/>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组用高脂饲料喂养，其他组用普通饲料喂养。</w:t>
            </w:r>
          </w:p>
        </w:tc>
      </w:tr>
      <w:tr w14:paraId="0FA7A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72641A">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检测相关指标</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B122C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用③</w:t>
            </w:r>
            <w:r>
              <w:rPr>
                <w:rFonts w:hint="eastAsia" w:ascii="宋体" w:hAnsi="宋体" w:eastAsia="宋体" w:cs="宋体"/>
                <w:b w:val="0"/>
                <w:color w:val="000000" w:themeColor="text1"/>
                <w:sz w:val="21"/>
                <w:szCs w:val="21"/>
                <w:u w:val="single"/>
                <w14:textFill>
                  <w14:solidFill>
                    <w14:schemeClr w14:val="tx1"/>
                  </w14:solidFill>
                </w14:textFill>
              </w:rPr>
              <w:t xml:space="preserve">  </w:t>
            </w:r>
            <w:r>
              <w:rPr>
                <w:rFonts w:hint="eastAsia" w:ascii="宋体" w:hAnsi="宋体" w:cs="宋体"/>
                <w:color w:val="000000" w:themeColor="text1"/>
                <w:sz w:val="21"/>
                <w:szCs w:val="21"/>
                <w:u w:val="single"/>
                <w:lang w:val="en-US" w:eastAsia="zh-CN"/>
                <w14:textFill>
                  <w14:solidFill>
                    <w14:schemeClr w14:val="tx1"/>
                  </w14:solidFill>
                </w14:textFill>
              </w:rPr>
              <w:t xml:space="preserve">                                   </w:t>
            </w:r>
            <w:r>
              <w:rPr>
                <w:rFonts w:hint="eastAsia" w:ascii="宋体" w:hAnsi="宋体" w:eastAsia="宋体" w:cs="宋体"/>
                <w:b w:val="0"/>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技术检测相关炎症因子mRNA的含量，并通过一定的技术检测这些炎症因子的含量。</w:t>
            </w:r>
          </w:p>
        </w:tc>
      </w:tr>
    </w:tbl>
    <w:p w14:paraId="768B8F4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default" w:ascii="宋体" w:hAnsi="宋体" w:cs="宋体"/>
          <w:b w:val="0"/>
          <w:color w:val="000000" w:themeColor="text1"/>
          <w:sz w:val="21"/>
          <w:szCs w:val="21"/>
          <w:u w:val="singl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如果推测是正确的，则预期实验结果是④</w:t>
      </w:r>
      <w:r>
        <w:rPr>
          <w:rFonts w:hint="eastAsia" w:ascii="宋体" w:hAnsi="宋体" w:eastAsia="宋体" w:cs="宋体"/>
          <w:b w:val="0"/>
          <w:color w:val="000000" w:themeColor="text1"/>
          <w:sz w:val="21"/>
          <w:szCs w:val="21"/>
          <w:u w:val="single"/>
          <w14:textFill>
            <w14:solidFill>
              <w14:schemeClr w14:val="tx1"/>
            </w14:solidFill>
          </w14:textFill>
        </w:rPr>
        <w:t xml:space="preserve">   </w:t>
      </w:r>
      <w:r>
        <w:rPr>
          <w:rFonts w:hint="eastAsia" w:ascii="宋体" w:hAnsi="宋体" w:eastAsia="宋体" w:cs="宋体"/>
          <w:b w:val="0"/>
          <w:color w:val="000000" w:themeColor="text1"/>
          <w:sz w:val="21"/>
          <w:szCs w:val="21"/>
          <w:u w:val="single"/>
          <w:lang w:val="en-US" w:eastAsia="zh-CN"/>
          <w14:textFill>
            <w14:solidFill>
              <w14:schemeClr w14:val="tx1"/>
            </w14:solidFill>
          </w14:textFill>
        </w:rPr>
        <w:t xml:space="preserve">              </w:t>
      </w:r>
      <w:r>
        <w:rPr>
          <w:rFonts w:hint="eastAsia" w:ascii="宋体" w:hAnsi="宋体" w:cs="宋体"/>
          <w:b w:val="0"/>
          <w:color w:val="000000" w:themeColor="text1"/>
          <w:sz w:val="21"/>
          <w:szCs w:val="21"/>
          <w:u w:val="single"/>
          <w:lang w:val="en-US" w:eastAsia="zh-CN"/>
          <w14:textFill>
            <w14:solidFill>
              <w14:schemeClr w14:val="tx1"/>
            </w14:solidFill>
          </w14:textFill>
        </w:rPr>
        <w:t xml:space="preserve">                           </w:t>
      </w:r>
    </w:p>
    <w:p w14:paraId="4AD47A0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val="0"/>
          <w:color w:val="000000" w:themeColor="text1"/>
          <w:sz w:val="21"/>
          <w:szCs w:val="21"/>
          <w:u w:val="single"/>
          <w14:textFill>
            <w14:solidFill>
              <w14:schemeClr w14:val="tx1"/>
            </w14:solidFill>
          </w14:textFill>
        </w:rPr>
        <w:t xml:space="preserve"> </w:t>
      </w:r>
      <w:r>
        <w:rPr>
          <w:rFonts w:hint="eastAsia" w:ascii="宋体" w:hAnsi="宋体" w:eastAsia="宋体" w:cs="宋体"/>
          <w:b w:val="0"/>
          <w:color w:val="000000" w:themeColor="text1"/>
          <w:sz w:val="21"/>
          <w:szCs w:val="21"/>
          <w:u w:val="single"/>
          <w:lang w:val="en-US" w:eastAsia="zh-CN"/>
          <w14:textFill>
            <w14:solidFill>
              <w14:schemeClr w14:val="tx1"/>
            </w14:solidFill>
          </w14:textFill>
        </w:rPr>
        <w:t xml:space="preserve">                                                                          </w:t>
      </w:r>
      <w:r>
        <w:rPr>
          <w:rFonts w:hint="eastAsia" w:ascii="宋体" w:hAnsi="宋体" w:eastAsia="宋体" w:cs="宋体"/>
          <w:b w:val="0"/>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w:t>
      </w:r>
    </w:p>
    <w:p w14:paraId="47942ED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lang w:val="en-US" w:eastAsia="zh-CN"/>
          <w14:textFill>
            <w14:solidFill>
              <w14:schemeClr w14:val="tx1"/>
            </w14:solidFill>
          </w14:textFill>
        </w:rPr>
        <w:t>.（12分）</w:t>
      </w:r>
      <w:r>
        <w:rPr>
          <w:rFonts w:hint="eastAsia" w:ascii="宋体" w:hAnsi="宋体" w:eastAsia="宋体" w:cs="宋体"/>
          <w:color w:val="000000" w:themeColor="text1"/>
          <w:sz w:val="21"/>
          <w:szCs w:val="21"/>
          <w14:textFill>
            <w14:solidFill>
              <w14:schemeClr w14:val="tx1"/>
            </w14:solidFill>
          </w14:textFill>
        </w:rPr>
        <w:t>在塑料制品生产和使用过程中会产生大量的微塑料（直径小于5mm的含碳有机物），主要种类有聚乙烯（PE）、聚苯乙烯（PS）、聚丙烯（PP）等，它们以颗粒等形态释放到环境中，影响动植物生长及人类健康。图1为某地区微塑料的迁移示意图。</w:t>
      </w:r>
    </w:p>
    <w:p w14:paraId="1ECC4366">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trike w:val="0"/>
          <w:color w:val="000000" w:themeColor="text1"/>
          <w:kern w:val="0"/>
          <w:sz w:val="21"/>
          <w:szCs w:val="21"/>
          <w:u w:val="none"/>
          <w14:textFill>
            <w14:solidFill>
              <w14:schemeClr w14:val="tx1"/>
            </w14:solidFill>
          </w14:textFill>
        </w:rPr>
        <w:drawing>
          <wp:inline distT="0" distB="0" distL="114300" distR="114300">
            <wp:extent cx="3684270" cy="2680335"/>
            <wp:effectExtent l="0" t="0" r="11430" b="12065"/>
            <wp:docPr id="16" name="图片 11" descr="@@@e92e3c68-3a3d-4e3f-9d6f-3266346dfc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e92e3c68-3a3d-4e3f-9d6f-3266346dfc1a"/>
                    <pic:cNvPicPr>
                      <a:picLocks noChangeAspect="1"/>
                    </pic:cNvPicPr>
                  </pic:nvPicPr>
                  <pic:blipFill>
                    <a:blip r:embed="rId25">
                      <a:lum bright="-6000" contrast="12000"/>
                    </a:blip>
                    <a:stretch>
                      <a:fillRect/>
                    </a:stretch>
                  </pic:blipFill>
                  <pic:spPr>
                    <a:xfrm>
                      <a:off x="0" y="0"/>
                      <a:ext cx="3684270" cy="2680335"/>
                    </a:xfrm>
                    <a:prstGeom prst="rect">
                      <a:avLst/>
                    </a:prstGeom>
                    <a:noFill/>
                    <a:ln>
                      <a:noFill/>
                    </a:ln>
                  </pic:spPr>
                </pic:pic>
              </a:graphicData>
            </a:graphic>
          </wp:inline>
        </w:drawing>
      </w:r>
    </w:p>
    <w:p w14:paraId="3F1A4D5F">
      <w:pPr>
        <w:keepNext w:val="0"/>
        <w:keepLines w:val="0"/>
        <w:pageBreakBefore w:val="0"/>
        <w:widowControl w:val="0"/>
        <w:numPr>
          <w:ilvl w:val="0"/>
          <w:numId w:val="1"/>
        </w:numPr>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图中土壤微塑料进入植物的途径有根系吸收和__________________。微塑料进入生物群落后，微塑料对人类的影响比对其他生物更严重，其原因是________________________。</w:t>
      </w:r>
    </w:p>
    <w:p w14:paraId="1D32317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微塑料能影响土壤微生物群落和功能，表为PE对土壤微生物的影响，图2为放线菌降解PE的模式图。</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710"/>
        <w:gridCol w:w="1080"/>
        <w:gridCol w:w="870"/>
        <w:gridCol w:w="870"/>
      </w:tblGrid>
      <w:tr w14:paraId="676A1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55" w:hRule="atLeast"/>
        </w:trPr>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05F65DE">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土壤微生物群落</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845C12">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碳利用率</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646683">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丰富度</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6E79C70">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trike w:val="0"/>
                <w:color w:val="000000" w:themeColor="text1"/>
                <w:kern w:val="0"/>
                <w:sz w:val="21"/>
                <w:szCs w:val="21"/>
                <w:u w:val="none"/>
                <w14:textFill>
                  <w14:solidFill>
                    <w14:schemeClr w14:val="tx1"/>
                  </w14:solidFill>
                </w14:textFill>
              </w:rPr>
              <w:drawing>
                <wp:anchor distT="0" distB="0" distL="114300" distR="114300" simplePos="0" relativeHeight="251661312" behindDoc="1" locked="0" layoutInCell="1" allowOverlap="1">
                  <wp:simplePos x="0" y="0"/>
                  <wp:positionH relativeFrom="column">
                    <wp:posOffset>575945</wp:posOffset>
                  </wp:positionH>
                  <wp:positionV relativeFrom="paragraph">
                    <wp:posOffset>-36830</wp:posOffset>
                  </wp:positionV>
                  <wp:extent cx="2480310" cy="1551940"/>
                  <wp:effectExtent l="0" t="0" r="8890" b="10160"/>
                  <wp:wrapNone/>
                  <wp:docPr id="17" name="图片 100011" descr="@@@7182f023-1b99-4572-8bca-8bed5e01f4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0011" descr="@@@7182f023-1b99-4572-8bca-8bed5e01f41a"/>
                          <pic:cNvPicPr>
                            <a:picLocks noChangeAspect="1"/>
                          </pic:cNvPicPr>
                        </pic:nvPicPr>
                        <pic:blipFill>
                          <a:blip r:embed="rId26"/>
                          <a:stretch>
                            <a:fillRect/>
                          </a:stretch>
                        </pic:blipFill>
                        <pic:spPr>
                          <a:xfrm>
                            <a:off x="0" y="0"/>
                            <a:ext cx="2480310" cy="1551940"/>
                          </a:xfrm>
                          <a:prstGeom prst="rect">
                            <a:avLst/>
                          </a:prstGeom>
                          <a:noFill/>
                          <a:ln>
                            <a:noFill/>
                          </a:ln>
                        </pic:spPr>
                      </pic:pic>
                    </a:graphicData>
                  </a:graphic>
                </wp:anchor>
              </w:drawing>
            </w:r>
            <w:r>
              <w:rPr>
                <w:rFonts w:hint="eastAsia" w:ascii="宋体" w:hAnsi="宋体" w:eastAsia="宋体" w:cs="宋体"/>
                <w:color w:val="000000" w:themeColor="text1"/>
                <w:sz w:val="21"/>
                <w:szCs w:val="21"/>
                <w14:textFill>
                  <w14:solidFill>
                    <w14:schemeClr w14:val="tx1"/>
                  </w14:solidFill>
                </w14:textFill>
              </w:rPr>
              <w:t>多样性</w:t>
            </w:r>
          </w:p>
        </w:tc>
      </w:tr>
      <w:tr w14:paraId="16057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47" w:hRule="atLeast"/>
        </w:trPr>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4D88A90">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放线菌</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C9039C8">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2E82A7">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384ED1">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r>
      <w:tr w14:paraId="00D6D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D4D1EA">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细菌</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E7F0BB">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2B2954">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2080FE">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r>
      <w:tr w14:paraId="63A9D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18671CE">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真菌</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85EC8EE">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9C3E310">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147672">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r>
      <w:tr w14:paraId="52328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256B55">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病毒</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14E2FF">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93FCE04">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0B183AB">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r>
    </w:tbl>
    <w:p w14:paraId="7A7EF5A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“+”促进；“-”抑制；“=”无影响</w:t>
      </w:r>
    </w:p>
    <w:p w14:paraId="12578827">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①</w:t>
      </w:r>
      <w:r>
        <w:rPr>
          <w:rFonts w:hint="eastAsia" w:ascii="宋体" w:hAnsi="宋体" w:eastAsia="宋体" w:cs="宋体"/>
          <w:color w:val="000000" w:themeColor="text1"/>
          <w:sz w:val="21"/>
          <w:szCs w:val="21"/>
          <w14:textFill>
            <w14:solidFill>
              <w14:schemeClr w14:val="tx1"/>
            </w14:solidFill>
          </w14:textFill>
        </w:rPr>
        <w:t>据表推测，该地区被微塑料污染后，表中的</w:t>
      </w:r>
      <w:r>
        <w:rPr>
          <w:rFonts w:hint="eastAsia" w:ascii="宋体" w:hAnsi="宋体" w:eastAsia="宋体" w:cs="宋体"/>
          <w:b w:val="0"/>
          <w:color w:val="000000" w:themeColor="text1"/>
          <w:sz w:val="21"/>
          <w:szCs w:val="21"/>
          <w:u w:val="single"/>
          <w14:textFill>
            <w14:solidFill>
              <w14:schemeClr w14:val="tx1"/>
            </w14:solidFill>
          </w14:textFill>
        </w:rPr>
        <w:t xml:space="preserve">    </w:t>
      </w:r>
      <w:r>
        <w:rPr>
          <w:rFonts w:hint="eastAsia" w:ascii="宋体" w:hAnsi="宋体" w:cs="宋体"/>
          <w:color w:val="000000" w:themeColor="text1"/>
          <w:sz w:val="21"/>
          <w:szCs w:val="21"/>
          <w:u w:val="single"/>
          <w:lang w:val="en-US" w:eastAsia="zh-CN"/>
          <w14:textFill>
            <w14:solidFill>
              <w14:schemeClr w14:val="tx1"/>
            </w14:solidFill>
          </w14:textFill>
        </w:rPr>
        <w:t xml:space="preserve">          </w:t>
      </w:r>
      <w:r>
        <w:rPr>
          <w:rFonts w:hint="eastAsia" w:ascii="宋体" w:hAnsi="宋体" w:eastAsia="宋体" w:cs="宋体"/>
          <w:b w:val="0"/>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可能逐渐成为优势类群，这种群落的演替称为</w:t>
      </w:r>
      <w:r>
        <w:rPr>
          <w:rFonts w:hint="eastAsia" w:ascii="宋体" w:hAnsi="宋体" w:eastAsia="宋体" w:cs="宋体"/>
          <w:b w:val="0"/>
          <w:color w:val="000000" w:themeColor="text1"/>
          <w:sz w:val="21"/>
          <w:szCs w:val="21"/>
          <w:u w:val="single"/>
          <w14:textFill>
            <w14:solidFill>
              <w14:schemeClr w14:val="tx1"/>
            </w14:solidFill>
          </w14:textFill>
        </w:rPr>
        <w:t xml:space="preserve">  </w:t>
      </w:r>
      <w:r>
        <w:rPr>
          <w:rFonts w:hint="eastAsia" w:ascii="宋体" w:hAnsi="宋体" w:cs="宋体"/>
          <w:color w:val="000000" w:themeColor="text1"/>
          <w:sz w:val="21"/>
          <w:szCs w:val="21"/>
          <w:u w:val="single"/>
          <w:lang w:val="en-US" w:eastAsia="zh-CN"/>
          <w14:textFill>
            <w14:solidFill>
              <w14:schemeClr w14:val="tx1"/>
            </w14:solidFill>
          </w14:textFill>
        </w:rPr>
        <w:t xml:space="preserve">   </w:t>
      </w:r>
      <w:r>
        <w:rPr>
          <w:rFonts w:hint="eastAsia" w:ascii="宋体" w:hAnsi="宋体" w:eastAsia="宋体" w:cs="宋体"/>
          <w:b w:val="0"/>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（初生/次生）演替。该微生物类群成为优势类群的原因可能是</w:t>
      </w:r>
      <w:r>
        <w:rPr>
          <w:rFonts w:hint="eastAsia" w:ascii="宋体" w:hAnsi="宋体" w:eastAsia="宋体" w:cs="宋体"/>
          <w:b w:val="0"/>
          <w:color w:val="000000" w:themeColor="text1"/>
          <w:sz w:val="21"/>
          <w:szCs w:val="21"/>
          <w:u w:val="single"/>
          <w14:textFill>
            <w14:solidFill>
              <w14:schemeClr w14:val="tx1"/>
            </w14:solidFill>
          </w14:textFill>
        </w:rPr>
        <w:t xml:space="preserve">  </w:t>
      </w:r>
      <w:r>
        <w:rPr>
          <w:rFonts w:hint="eastAsia" w:ascii="宋体" w:hAnsi="宋体" w:cs="宋体"/>
          <w:color w:val="000000" w:themeColor="text1"/>
          <w:sz w:val="21"/>
          <w:szCs w:val="21"/>
          <w:u w:val="single"/>
          <w:lang w:val="en-US" w:eastAsia="zh-CN"/>
          <w14:textFill>
            <w14:solidFill>
              <w14:schemeClr w14:val="tx1"/>
            </w14:solidFill>
          </w14:textFill>
        </w:rPr>
        <w:t xml:space="preserve">                                                        </w:t>
      </w:r>
      <w:r>
        <w:rPr>
          <w:rFonts w:hint="eastAsia" w:ascii="宋体" w:hAnsi="宋体" w:eastAsia="宋体" w:cs="宋体"/>
          <w:b w:val="0"/>
          <w:color w:val="000000" w:themeColor="text1"/>
          <w:sz w:val="21"/>
          <w:szCs w:val="21"/>
          <w:u w:val="single"/>
          <w14:textFill>
            <w14:solidFill>
              <w14:schemeClr w14:val="tx1"/>
            </w14:solidFill>
          </w14:textFill>
        </w:rPr>
        <w:t xml:space="preserve">   </w:t>
      </w:r>
      <w:r>
        <w:rPr>
          <w:rFonts w:hint="eastAsia" w:ascii="宋体" w:hAnsi="宋体" w:eastAsia="宋体" w:cs="宋体"/>
          <w:b w:val="0"/>
          <w:color w:val="000000" w:themeColor="text1"/>
          <w:sz w:val="21"/>
          <w:szCs w:val="21"/>
          <w:u w:val="none"/>
          <w:lang w:eastAsia="zh-CN"/>
          <w14:textFill>
            <w14:solidFill>
              <w14:schemeClr w14:val="tx1"/>
            </w14:solidFill>
          </w14:textFill>
        </w:rPr>
        <w:t>。</w:t>
      </w:r>
    </w:p>
    <w:p w14:paraId="2E0B0CE1">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②</w:t>
      </w:r>
      <w:r>
        <w:rPr>
          <w:rFonts w:hint="eastAsia" w:ascii="宋体" w:hAnsi="宋体" w:eastAsia="宋体" w:cs="宋体"/>
          <w:color w:val="000000" w:themeColor="text1"/>
          <w:sz w:val="21"/>
          <w:szCs w:val="21"/>
          <w14:textFill>
            <w14:solidFill>
              <w14:schemeClr w14:val="tx1"/>
            </w14:solidFill>
          </w14:textFill>
        </w:rPr>
        <w:t>据图2分析，下列编号的细胞结构或物质中，参与胞外酶的合成和分泌的有</w:t>
      </w:r>
      <w:r>
        <w:rPr>
          <w:rFonts w:hint="eastAsia" w:ascii="宋体" w:hAnsi="宋体" w:eastAsia="宋体" w:cs="宋体"/>
          <w:b w:val="0"/>
          <w:color w:val="000000" w:themeColor="text1"/>
          <w:sz w:val="21"/>
          <w:szCs w:val="21"/>
          <w:u w:val="single"/>
          <w14:textFill>
            <w14:solidFill>
              <w14:schemeClr w14:val="tx1"/>
            </w14:solidFill>
          </w14:textFill>
        </w:rPr>
        <w:t xml:space="preserve">   </w:t>
      </w:r>
      <w:r>
        <w:rPr>
          <w:rFonts w:hint="eastAsia" w:ascii="宋体" w:hAnsi="宋体" w:cs="宋体"/>
          <w:color w:val="000000" w:themeColor="text1"/>
          <w:sz w:val="21"/>
          <w:szCs w:val="21"/>
          <w:u w:val="single"/>
          <w:lang w:val="en-US" w:eastAsia="zh-CN"/>
          <w14:textFill>
            <w14:solidFill>
              <w14:schemeClr w14:val="tx1"/>
            </w14:solidFill>
          </w14:textFill>
        </w:rPr>
        <w:t xml:space="preserve"> </w:t>
      </w:r>
      <w:r>
        <w:rPr>
          <w:rFonts w:hint="eastAsia" w:ascii="宋体" w:hAnsi="宋体" w:eastAsia="宋体" w:cs="宋体"/>
          <w:b w:val="0"/>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。（编号选填）</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lang w:val="en-US" w:eastAsia="zh-CN"/>
          <w14:textFill>
            <w14:solidFill>
              <w14:schemeClr w14:val="tx1"/>
            </w14:solidFill>
          </w14:textFill>
        </w:rPr>
        <w:t>a.</w:t>
      </w:r>
      <w:r>
        <w:rPr>
          <w:rFonts w:hint="eastAsia" w:ascii="宋体" w:hAnsi="宋体" w:eastAsia="宋体" w:cs="宋体"/>
          <w:color w:val="000000" w:themeColor="text1"/>
          <w:sz w:val="21"/>
          <w:szCs w:val="21"/>
          <w14:textFill>
            <w14:solidFill>
              <w14:schemeClr w14:val="tx1"/>
            </w14:solidFill>
          </w14:textFill>
        </w:rPr>
        <w:t>细胞膜</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lang w:val="en-US" w:eastAsia="zh-CN"/>
          <w14:textFill>
            <w14:solidFill>
              <w14:schemeClr w14:val="tx1"/>
            </w14:solidFill>
          </w14:textFill>
        </w:rPr>
        <w:t>b.</w:t>
      </w:r>
      <w:r>
        <w:rPr>
          <w:rFonts w:hint="eastAsia" w:ascii="宋体" w:hAnsi="宋体" w:eastAsia="宋体" w:cs="宋体"/>
          <w:color w:val="000000" w:themeColor="text1"/>
          <w:sz w:val="21"/>
          <w:szCs w:val="21"/>
          <w14:textFill>
            <w14:solidFill>
              <w14:schemeClr w14:val="tx1"/>
            </w14:solidFill>
          </w14:textFill>
        </w:rPr>
        <w:t>溶酶体</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lang w:val="en-US" w:eastAsia="zh-CN"/>
          <w14:textFill>
            <w14:solidFill>
              <w14:schemeClr w14:val="tx1"/>
            </w14:solidFill>
          </w14:textFill>
        </w:rPr>
        <w:t xml:space="preserve"> c.</w:t>
      </w:r>
      <w:r>
        <w:rPr>
          <w:rFonts w:hint="eastAsia" w:ascii="宋体" w:hAnsi="宋体" w:eastAsia="宋体" w:cs="宋体"/>
          <w:color w:val="000000" w:themeColor="text1"/>
          <w:sz w:val="21"/>
          <w:szCs w:val="21"/>
          <w14:textFill>
            <w14:solidFill>
              <w14:schemeClr w14:val="tx1"/>
            </w14:solidFill>
          </w14:textFill>
        </w:rPr>
        <w:t>核糖体</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lang w:val="en-US" w:eastAsia="zh-CN"/>
          <w14:textFill>
            <w14:solidFill>
              <w14:schemeClr w14:val="tx1"/>
            </w14:solidFill>
          </w14:textFill>
        </w:rPr>
        <w:t xml:space="preserve"> d.</w:t>
      </w:r>
      <w:r>
        <w:rPr>
          <w:rFonts w:hint="eastAsia" w:ascii="宋体" w:hAnsi="宋体" w:eastAsia="宋体" w:cs="宋体"/>
          <w:color w:val="000000" w:themeColor="text1"/>
          <w:sz w:val="21"/>
          <w:szCs w:val="21"/>
          <w14:textFill>
            <w14:solidFill>
              <w14:schemeClr w14:val="tx1"/>
            </w14:solidFill>
          </w14:textFill>
        </w:rPr>
        <w:t>内质网</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lang w:val="en-US" w:eastAsia="zh-CN"/>
          <w14:textFill>
            <w14:solidFill>
              <w14:schemeClr w14:val="tx1"/>
            </w14:solidFill>
          </w14:textFill>
        </w:rPr>
        <w:t xml:space="preserve"> e.</w:t>
      </w:r>
      <w:r>
        <w:rPr>
          <w:rFonts w:hint="eastAsia" w:ascii="宋体" w:hAnsi="宋体" w:eastAsia="宋体" w:cs="宋体"/>
          <w:color w:val="000000" w:themeColor="text1"/>
          <w:sz w:val="21"/>
          <w:szCs w:val="21"/>
          <w14:textFill>
            <w14:solidFill>
              <w14:schemeClr w14:val="tx1"/>
            </w14:solidFill>
          </w14:textFill>
        </w:rPr>
        <w:t>高尔基体</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lang w:val="en-US" w:eastAsia="zh-CN"/>
          <w14:textFill>
            <w14:solidFill>
              <w14:schemeClr w14:val="tx1"/>
            </w14:solidFill>
          </w14:textFill>
        </w:rPr>
        <w:t xml:space="preserve">f. </w:t>
      </w:r>
      <w:r>
        <w:rPr>
          <w:rFonts w:hint="eastAsia" w:ascii="宋体" w:hAnsi="宋体" w:eastAsia="宋体" w:cs="宋体"/>
          <w:color w:val="000000" w:themeColor="text1"/>
          <w:sz w:val="21"/>
          <w:szCs w:val="21"/>
          <w14:textFill>
            <w14:solidFill>
              <w14:schemeClr w14:val="tx1"/>
            </w14:solidFill>
          </w14:textFill>
        </w:rPr>
        <w:t>DNA</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p>
    <w:p w14:paraId="71C1A3A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cs="宋体"/>
          <w:color w:val="000000" w:themeColor="text1"/>
          <w:sz w:val="21"/>
          <w:szCs w:val="21"/>
          <w:u w:val="singl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w:t>
      </w:r>
      <w:r>
        <w:rPr>
          <w:rFonts w:hint="eastAsia" w:ascii="宋体" w:hAnsi="宋体" w:eastAsia="宋体" w:cs="宋体"/>
          <w:color w:val="000000" w:themeColor="text1"/>
          <w:sz w:val="21"/>
          <w:szCs w:val="21"/>
          <w14:textFill>
            <w14:solidFill>
              <w14:schemeClr w14:val="tx1"/>
            </w14:solidFill>
          </w14:textFill>
        </w:rPr>
        <w:t>土壤中</w:t>
      </w:r>
      <w:r>
        <w:rPr>
          <w:rFonts w:hint="eastAsia" w:ascii="宋体" w:hAnsi="宋体" w:eastAsia="宋体" w:cs="宋体"/>
          <w:color w:val="000000" w:themeColor="text1"/>
          <w:sz w:val="21"/>
          <w:szCs w:val="21"/>
          <w:lang w:val="en-US" w:eastAsia="zh-CN"/>
          <w14:textFill>
            <w14:solidFill>
              <w14:schemeClr w14:val="tx1"/>
            </w14:solidFill>
          </w14:textFill>
        </w:rPr>
        <w:t>部分微生物可</w:t>
      </w:r>
      <w:r>
        <w:rPr>
          <w:rFonts w:hint="eastAsia" w:ascii="宋体" w:hAnsi="宋体" w:eastAsia="宋体" w:cs="宋体"/>
          <w:color w:val="000000" w:themeColor="text1"/>
          <w:sz w:val="21"/>
          <w:szCs w:val="21"/>
          <w14:textFill>
            <w14:solidFill>
              <w14:schemeClr w14:val="tx1"/>
            </w14:solidFill>
          </w14:textFill>
        </w:rPr>
        <w:t>降解微塑料，并会在其周围形成新的微生物群落。该群落与</w:t>
      </w:r>
      <w:r>
        <w:rPr>
          <w:rFonts w:hint="eastAsia" w:ascii="宋体" w:hAnsi="宋体" w:eastAsia="宋体" w:cs="宋体"/>
          <w:b w:val="0"/>
          <w:color w:val="000000" w:themeColor="text1"/>
          <w:sz w:val="21"/>
          <w:szCs w:val="21"/>
          <w:u w:val="single"/>
          <w14:textFill>
            <w14:solidFill>
              <w14:schemeClr w14:val="tx1"/>
            </w14:solidFill>
          </w14:textFill>
        </w:rPr>
        <w:t xml:space="preserve">    </w:t>
      </w:r>
      <w:r>
        <w:rPr>
          <w:rFonts w:hint="eastAsia" w:ascii="宋体" w:hAnsi="宋体" w:cs="宋体"/>
          <w:color w:val="000000" w:themeColor="text1"/>
          <w:sz w:val="21"/>
          <w:szCs w:val="21"/>
          <w:u w:val="single"/>
          <w:lang w:val="en-US" w:eastAsia="zh-CN"/>
          <w14:textFill>
            <w14:solidFill>
              <w14:schemeClr w14:val="tx1"/>
            </w14:solidFill>
          </w14:textFill>
        </w:rPr>
        <w:t xml:space="preserve"> </w:t>
      </w:r>
    </w:p>
    <w:p w14:paraId="55612D4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color w:val="000000" w:themeColor="text1"/>
          <w:sz w:val="21"/>
          <w:szCs w:val="21"/>
          <w:u w:val="single"/>
          <w14:textFill>
            <w14:solidFill>
              <w14:schemeClr w14:val="tx1"/>
            </w14:solidFill>
          </w14:textFill>
        </w:rPr>
      </w:pPr>
      <w:r>
        <w:rPr>
          <w:rFonts w:hint="eastAsia" w:ascii="宋体" w:hAnsi="宋体" w:eastAsia="宋体" w:cs="宋体"/>
          <w:b w:val="0"/>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相互作用可形成微型生态系统(也称为塑料圈)，塑料圈能量的主要来源是</w:t>
      </w:r>
      <w:r>
        <w:rPr>
          <w:rFonts w:hint="eastAsia" w:ascii="宋体" w:hAnsi="宋体" w:eastAsia="宋体" w:cs="宋体"/>
          <w:b w:val="0"/>
          <w:color w:val="000000" w:themeColor="text1"/>
          <w:sz w:val="21"/>
          <w:szCs w:val="21"/>
          <w:u w:val="single"/>
          <w14:textFill>
            <w14:solidFill>
              <w14:schemeClr w14:val="tx1"/>
            </w14:solidFill>
          </w14:textFill>
        </w:rPr>
        <w:t xml:space="preserve">    </w:t>
      </w:r>
      <w:r>
        <w:rPr>
          <w:rFonts w:hint="eastAsia" w:ascii="宋体" w:hAnsi="宋体" w:cs="宋体"/>
          <w:color w:val="000000" w:themeColor="text1"/>
          <w:sz w:val="21"/>
          <w:szCs w:val="21"/>
          <w:u w:val="single"/>
          <w:lang w:val="en-US" w:eastAsia="zh-CN"/>
          <w14:textFill>
            <w14:solidFill>
              <w14:schemeClr w14:val="tx1"/>
            </w14:solidFill>
          </w14:textFill>
        </w:rPr>
        <w:t xml:space="preserve">  </w:t>
      </w:r>
    </w:p>
    <w:p w14:paraId="6AAEA45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val="0"/>
          <w:color w:val="000000" w:themeColor="text1"/>
          <w:sz w:val="21"/>
          <w:szCs w:val="21"/>
          <w:u w:val="single"/>
          <w14:textFill>
            <w14:solidFill>
              <w14:schemeClr w14:val="tx1"/>
            </w14:solidFill>
          </w14:textFill>
        </w:rPr>
        <w:t xml:space="preserve"> </w:t>
      </w:r>
      <w:r>
        <w:rPr>
          <w:rFonts w:hint="eastAsia" w:ascii="宋体" w:hAnsi="宋体" w:cs="宋体"/>
          <w:color w:val="000000" w:themeColor="text1"/>
          <w:sz w:val="21"/>
          <w:szCs w:val="21"/>
          <w:u w:val="single"/>
          <w:lang w:val="en-US" w:eastAsia="zh-CN"/>
          <w14:textFill>
            <w14:solidFill>
              <w14:schemeClr w14:val="tx1"/>
            </w14:solidFill>
          </w14:textFill>
        </w:rPr>
        <w:t xml:space="preserve"> </w:t>
      </w:r>
      <w:r>
        <w:rPr>
          <w:rFonts w:hint="eastAsia" w:ascii="宋体" w:hAnsi="宋体" w:eastAsia="宋体" w:cs="宋体"/>
          <w:b w:val="0"/>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。塑料圈不能长期持续，其原因是</w:t>
      </w:r>
      <w:r>
        <w:rPr>
          <w:rFonts w:hint="eastAsia" w:ascii="宋体" w:hAnsi="宋体" w:eastAsia="宋体" w:cs="宋体"/>
          <w:b w:val="0"/>
          <w:color w:val="000000" w:themeColor="text1"/>
          <w:sz w:val="21"/>
          <w:szCs w:val="21"/>
          <w:u w:val="single"/>
          <w14:textFill>
            <w14:solidFill>
              <w14:schemeClr w14:val="tx1"/>
            </w14:solidFill>
          </w14:textFill>
        </w:rPr>
        <w:t xml:space="preserve">           </w:t>
      </w:r>
      <w:r>
        <w:rPr>
          <w:rFonts w:hint="eastAsia" w:ascii="宋体" w:hAnsi="宋体" w:cs="宋体"/>
          <w:color w:val="000000" w:themeColor="text1"/>
          <w:sz w:val="21"/>
          <w:szCs w:val="21"/>
          <w:u w:val="single"/>
          <w:lang w:val="en-US" w:eastAsia="zh-CN"/>
          <w14:textFill>
            <w14:solidFill>
              <w14:schemeClr w14:val="tx1"/>
            </w14:solidFill>
          </w14:textFill>
        </w:rPr>
        <w:t xml:space="preserve">                    </w:t>
      </w:r>
      <w:r>
        <w:rPr>
          <w:rFonts w:hint="eastAsia" w:ascii="宋体" w:hAnsi="宋体" w:eastAsia="宋体" w:cs="宋体"/>
          <w:b w:val="0"/>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。微塑料进入土壤后，土壤生态系统短期内未受到显著影响，说明生态系统具有</w:t>
      </w:r>
      <w:r>
        <w:rPr>
          <w:rFonts w:hint="eastAsia" w:ascii="宋体" w:hAnsi="宋体" w:eastAsia="宋体" w:cs="宋体"/>
          <w:b w:val="0"/>
          <w:color w:val="000000" w:themeColor="text1"/>
          <w:sz w:val="21"/>
          <w:szCs w:val="21"/>
          <w:u w:val="single"/>
          <w14:textFill>
            <w14:solidFill>
              <w14:schemeClr w14:val="tx1"/>
            </w14:solidFill>
          </w14:textFill>
        </w:rPr>
        <w:t xml:space="preserve">   </w:t>
      </w:r>
      <w:r>
        <w:rPr>
          <w:rFonts w:hint="eastAsia" w:ascii="宋体" w:hAnsi="宋体" w:cs="宋体"/>
          <w:color w:val="000000" w:themeColor="text1"/>
          <w:sz w:val="21"/>
          <w:szCs w:val="21"/>
          <w:u w:val="single"/>
          <w:lang w:val="en-US" w:eastAsia="zh-CN"/>
          <w14:textFill>
            <w14:solidFill>
              <w14:schemeClr w14:val="tx1"/>
            </w14:solidFill>
          </w14:textFill>
        </w:rPr>
        <w:t xml:space="preserve">     </w:t>
      </w:r>
      <w:r>
        <w:rPr>
          <w:rFonts w:hint="eastAsia" w:ascii="宋体" w:hAnsi="宋体" w:eastAsia="宋体" w:cs="宋体"/>
          <w:b w:val="0"/>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能力。</w:t>
      </w:r>
    </w:p>
    <w:p w14:paraId="41C1B1E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4</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微塑料是一种持久性污染物，覆盖在土壤生物表面时会导致其无法正常呼吸，与其他有毒物质结合会毒害土壤生物，故对土壤生态系统具有严重的危害。某生物兴趣小组欲通过实验分析微塑料对土壤理化性质以及对土壤中动物、植物、微生物的丰富度的影响，则对照组的实验材料是</w:t>
      </w:r>
      <w:r>
        <w:rPr>
          <w:rFonts w:hint="eastAsia" w:ascii="宋体" w:hAnsi="宋体" w:eastAsia="宋体" w:cs="宋体"/>
          <w:b w:val="0"/>
          <w:color w:val="000000" w:themeColor="text1"/>
          <w:sz w:val="21"/>
          <w:szCs w:val="21"/>
          <w:u w:val="single"/>
          <w14:textFill>
            <w14:solidFill>
              <w14:schemeClr w14:val="tx1"/>
            </w14:solidFill>
          </w14:textFill>
        </w:rPr>
        <w:t xml:space="preserve">    </w:t>
      </w:r>
      <w:r>
        <w:rPr>
          <w:rFonts w:hint="eastAsia" w:ascii="宋体" w:hAnsi="宋体" w:cs="宋体"/>
          <w:b w:val="0"/>
          <w:color w:val="000000" w:themeColor="text1"/>
          <w:sz w:val="21"/>
          <w:szCs w:val="21"/>
          <w:u w:val="single"/>
          <w:lang w:val="en-US" w:eastAsia="zh-CN"/>
          <w14:textFill>
            <w14:solidFill>
              <w14:schemeClr w14:val="tx1"/>
            </w14:solidFill>
          </w14:textFill>
        </w:rPr>
        <w:t xml:space="preserve">            </w:t>
      </w:r>
      <w:r>
        <w:rPr>
          <w:rFonts w:hint="eastAsia" w:ascii="宋体" w:hAnsi="宋体" w:eastAsia="宋体" w:cs="宋体"/>
          <w:b w:val="0"/>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，实验组的材料是</w:t>
      </w:r>
      <w:r>
        <w:rPr>
          <w:rFonts w:hint="eastAsia" w:ascii="宋体" w:hAnsi="宋体" w:eastAsia="宋体" w:cs="宋体"/>
          <w:b w:val="0"/>
          <w:color w:val="000000" w:themeColor="text1"/>
          <w:sz w:val="21"/>
          <w:szCs w:val="21"/>
          <w:u w:val="single"/>
          <w14:textFill>
            <w14:solidFill>
              <w14:schemeClr w14:val="tx1"/>
            </w14:solidFill>
          </w14:textFill>
        </w:rPr>
        <w:t xml:space="preserve">      </w:t>
      </w:r>
      <w:r>
        <w:rPr>
          <w:rFonts w:hint="eastAsia" w:ascii="宋体" w:hAnsi="宋体" w:cs="宋体"/>
          <w:color w:val="000000" w:themeColor="text1"/>
          <w:sz w:val="21"/>
          <w:szCs w:val="21"/>
          <w:u w:val="single"/>
          <w:lang w:val="en-US" w:eastAsia="zh-CN"/>
          <w14:textFill>
            <w14:solidFill>
              <w14:schemeClr w14:val="tx1"/>
            </w14:solidFill>
          </w14:textFill>
        </w:rPr>
        <w:t xml:space="preserve">            </w:t>
      </w:r>
      <w:r>
        <w:rPr>
          <w:rFonts w:hint="eastAsia" w:ascii="宋体" w:hAnsi="宋体" w:eastAsia="宋体" w:cs="宋体"/>
          <w:b w:val="0"/>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w:t>
      </w:r>
    </w:p>
    <w:p w14:paraId="46AD5153">
      <w:pPr>
        <w:keepNext w:val="0"/>
        <w:keepLines w:val="0"/>
        <w:pageBreakBefore w:val="0"/>
        <w:widowControl w:val="0"/>
        <w:kinsoku/>
        <w:wordWrap/>
        <w:overflowPunct/>
        <w:topLinePunct w:val="0"/>
        <w:autoSpaceDE/>
        <w:autoSpaceDN/>
        <w:bidi w:val="0"/>
        <w:adjustRightIn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cs="宋体"/>
          <w:color w:val="000000" w:themeColor="text1"/>
          <w:sz w:val="21"/>
          <w:szCs w:val="21"/>
          <w:lang w:val="en-US" w:eastAsia="zh-CN"/>
          <w14:textFill>
            <w14:solidFill>
              <w14:schemeClr w14:val="tx1"/>
            </w14:solidFill>
          </w14:textFill>
        </w:rPr>
        <w:t>3</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12分</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请结合有关遗传规律知识回答下列问题。</w:t>
      </w:r>
    </w:p>
    <w:p w14:paraId="4D8CD901">
      <w:pPr>
        <w:keepNext w:val="0"/>
        <w:keepLines w:val="0"/>
        <w:pageBreakBefore w:val="0"/>
        <w:widowControl w:val="0"/>
        <w:kinsoku/>
        <w:wordWrap/>
        <w:overflowPunct/>
        <w:topLinePunct w:val="0"/>
        <w:autoSpaceDE/>
        <w:autoSpaceDN/>
        <w:bidi w:val="0"/>
        <w:adjustRightInd/>
        <w:spacing w:line="240" w:lineRule="auto"/>
        <w:jc w:val="left"/>
        <w:textAlignment w:val="center"/>
        <w:rPr>
          <w:rFonts w:hint="eastAsia" w:ascii="宋体" w:hAnsi="宋体" w:eastAsia="宋体" w:cs="宋体"/>
          <w:color w:val="000000" w:themeColor="text1"/>
          <w:sz w:val="21"/>
          <w:szCs w:val="21"/>
          <w:u w:val="singl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(1)某种基因型为AaBb的个体测交，后代表现型比例为3∶1，则该遗传</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cs="宋体"/>
          <w:color w:val="000000" w:themeColor="text1"/>
          <w:sz w:val="21"/>
          <w:szCs w:val="21"/>
          <w:u w:val="single"/>
          <w:lang w:val="en-US" w:eastAsia="zh-CN"/>
          <w14:textFill>
            <w14:solidFill>
              <w14:schemeClr w14:val="tx1"/>
            </w14:solidFill>
          </w14:textFill>
        </w:rPr>
        <w:t xml:space="preserve">  </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（填“可以”或“一定不”）遵循自由组合定律，原因是</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cs="宋体"/>
          <w:color w:val="000000" w:themeColor="text1"/>
          <w:sz w:val="21"/>
          <w:szCs w:val="21"/>
          <w:u w:val="single"/>
          <w:lang w:val="en-US" w:eastAsia="zh-CN"/>
          <w14:textFill>
            <w14:solidFill>
              <w14:schemeClr w14:val="tx1"/>
            </w14:solidFill>
          </w14:textFill>
        </w:rPr>
        <w:t xml:space="preserve">                                      </w:t>
      </w:r>
      <w:r>
        <w:rPr>
          <w:rFonts w:hint="eastAsia" w:ascii="宋体" w:hAnsi="宋体" w:eastAsia="宋体" w:cs="宋体"/>
          <w:color w:val="000000" w:themeColor="text1"/>
          <w:sz w:val="21"/>
          <w:szCs w:val="21"/>
          <w:u w:val="single"/>
          <w14:textFill>
            <w14:solidFill>
              <w14:schemeClr w14:val="tx1"/>
            </w14:solidFill>
          </w14:textFill>
        </w:rPr>
        <w:t xml:space="preserve">  </w:t>
      </w:r>
    </w:p>
    <w:p w14:paraId="4FCC1267">
      <w:pPr>
        <w:keepNext w:val="0"/>
        <w:keepLines w:val="0"/>
        <w:pageBreakBefore w:val="0"/>
        <w:widowControl w:val="0"/>
        <w:kinsoku/>
        <w:wordWrap/>
        <w:overflowPunct/>
        <w:topLinePunct w:val="0"/>
        <w:autoSpaceDE/>
        <w:autoSpaceDN/>
        <w:bidi w:val="0"/>
        <w:adjustRightIn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u w:val="single"/>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2分</w:t>
      </w:r>
      <w:r>
        <w:rPr>
          <w:rFonts w:hint="eastAsia" w:ascii="宋体" w:hAnsi="宋体" w:eastAsia="宋体" w:cs="宋体"/>
          <w:color w:val="000000" w:themeColor="text1"/>
          <w:sz w:val="21"/>
          <w:szCs w:val="21"/>
          <w:lang w:eastAsia="zh-CN"/>
          <w14:textFill>
            <w14:solidFill>
              <w14:schemeClr w14:val="tx1"/>
            </w14:solidFill>
          </w14:textFill>
        </w:rPr>
        <w:t>）</w:t>
      </w:r>
    </w:p>
    <w:p w14:paraId="4F4CFF45">
      <w:pPr>
        <w:keepNext w:val="0"/>
        <w:keepLines w:val="0"/>
        <w:pageBreakBefore w:val="0"/>
        <w:widowControl w:val="0"/>
        <w:kinsoku/>
        <w:wordWrap/>
        <w:overflowPunct/>
        <w:topLinePunct w:val="0"/>
        <w:autoSpaceDE/>
        <w:autoSpaceDN/>
        <w:bidi w:val="0"/>
        <w:adjustRightInd/>
        <w:spacing w:line="240" w:lineRule="auto"/>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(2)基因型为AaBb（黄色圆粒）的个体测交，后代表现型及比例为黄圆∶黄皱∶绿圆∶绿皱＝3∶1∶1∶3，不考虑致死，如用该AaBb个体自交，则后代中绿皱的比例为</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cs="宋体"/>
          <w:color w:val="000000" w:themeColor="text1"/>
          <w:sz w:val="21"/>
          <w:szCs w:val="21"/>
          <w:u w:val="single"/>
          <w:lang w:val="en-US" w:eastAsia="zh-CN"/>
          <w14:textFill>
            <w14:solidFill>
              <w14:schemeClr w14:val="tx1"/>
            </w14:solidFill>
          </w14:textFill>
        </w:rPr>
        <w:t xml:space="preserve">  </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2分</w:t>
      </w:r>
      <w:r>
        <w:rPr>
          <w:rFonts w:hint="eastAsia" w:ascii="宋体" w:hAnsi="宋体" w:eastAsia="宋体" w:cs="宋体"/>
          <w:color w:val="000000" w:themeColor="text1"/>
          <w:sz w:val="21"/>
          <w:szCs w:val="21"/>
          <w:lang w:eastAsia="zh-CN"/>
          <w14:textFill>
            <w14:solidFill>
              <w14:schemeClr w14:val="tx1"/>
            </w14:solidFill>
          </w14:textFill>
        </w:rPr>
        <w:t>）</w:t>
      </w:r>
    </w:p>
    <w:p w14:paraId="5381988A">
      <w:pPr>
        <w:keepNext w:val="0"/>
        <w:keepLines w:val="0"/>
        <w:pageBreakBefore w:val="0"/>
        <w:widowControl w:val="0"/>
        <w:kinsoku/>
        <w:wordWrap/>
        <w:overflowPunct/>
        <w:topLinePunct w:val="0"/>
        <w:autoSpaceDE/>
        <w:autoSpaceDN/>
        <w:bidi w:val="0"/>
        <w:adjustRightIn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(3)人类ABO血型由位于常染色体上的I</w:t>
      </w:r>
      <w:r>
        <w:rPr>
          <w:rFonts w:hint="eastAsia" w:ascii="宋体" w:hAnsi="宋体" w:eastAsia="宋体" w:cs="宋体"/>
          <w:color w:val="000000" w:themeColor="text1"/>
          <w:sz w:val="21"/>
          <w:szCs w:val="21"/>
          <w:vertAlign w:val="superscript"/>
          <w14:textFill>
            <w14:solidFill>
              <w14:schemeClr w14:val="tx1"/>
            </w14:solidFill>
          </w14:textFill>
        </w:rPr>
        <w:t>A</w:t>
      </w:r>
      <w:r>
        <w:rPr>
          <w:rFonts w:hint="eastAsia" w:ascii="宋体" w:hAnsi="宋体" w:eastAsia="宋体" w:cs="宋体"/>
          <w:color w:val="000000" w:themeColor="text1"/>
          <w:sz w:val="21"/>
          <w:szCs w:val="21"/>
          <w14:textFill>
            <w14:solidFill>
              <w14:schemeClr w14:val="tx1"/>
            </w14:solidFill>
          </w14:textFill>
        </w:rPr>
        <w:t>、I</w:t>
      </w:r>
      <w:r>
        <w:rPr>
          <w:rFonts w:hint="eastAsia" w:ascii="宋体" w:hAnsi="宋体" w:eastAsia="宋体" w:cs="宋体"/>
          <w:color w:val="000000" w:themeColor="text1"/>
          <w:sz w:val="21"/>
          <w:szCs w:val="21"/>
          <w:vertAlign w:val="superscript"/>
          <w14:textFill>
            <w14:solidFill>
              <w14:schemeClr w14:val="tx1"/>
            </w14:solidFill>
          </w14:textFill>
        </w:rPr>
        <w:t>B</w:t>
      </w:r>
      <w:r>
        <w:rPr>
          <w:rFonts w:hint="eastAsia" w:ascii="宋体" w:hAnsi="宋体" w:eastAsia="宋体" w:cs="宋体"/>
          <w:color w:val="000000" w:themeColor="text1"/>
          <w:sz w:val="21"/>
          <w:szCs w:val="21"/>
          <w14:textFill>
            <w14:solidFill>
              <w14:schemeClr w14:val="tx1"/>
            </w14:solidFill>
          </w14:textFill>
        </w:rPr>
        <w:t>、i三个复等位基因控制，仅考虑控制ABO血型的基因，人群中有</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cs="宋体"/>
          <w:color w:val="000000" w:themeColor="text1"/>
          <w:sz w:val="21"/>
          <w:szCs w:val="21"/>
          <w:u w:val="single"/>
          <w:lang w:val="en-US" w:eastAsia="zh-CN"/>
          <w14:textFill>
            <w14:solidFill>
              <w14:schemeClr w14:val="tx1"/>
            </w14:solidFill>
          </w14:textFill>
        </w:rPr>
        <w:t xml:space="preserve">    </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2分</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种杂交组合（不考虑正反交）可以用来验证分离定律。</w:t>
      </w:r>
      <w:r>
        <w:rPr>
          <w:rFonts w:hint="eastAsia" w:ascii="宋体" w:hAnsi="宋体" w:eastAsia="宋体" w:cs="宋体"/>
          <w:color w:val="000000" w:themeColor="text1"/>
          <w:kern w:val="0"/>
          <w:sz w:val="21"/>
          <w:szCs w:val="21"/>
          <w14:textFill>
            <w14:solidFill>
              <w14:schemeClr w14:val="tx1"/>
            </w14:solidFill>
          </w14:textFill>
        </w:rPr>
        <w:t>  </w:t>
      </w:r>
    </w:p>
    <w:p w14:paraId="20B120C9">
      <w:pPr>
        <w:keepNext w:val="0"/>
        <w:keepLines w:val="0"/>
        <w:pageBreakBefore w:val="0"/>
        <w:widowControl w:val="0"/>
        <w:kinsoku/>
        <w:wordWrap/>
        <w:overflowPunct/>
        <w:topLinePunct w:val="0"/>
        <w:autoSpaceDE/>
        <w:autoSpaceDN/>
        <w:bidi w:val="0"/>
        <w:adjustRightIn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(4)基因组印记指后代某一基因的表达取决于遗传自哪一个亲代的现象。生长激素主要通过胰岛素样生长因子（IGFs）介导发挥作用。小鼠 IGFs基因属于印记基因，IGFs基因（用A表示）正常表达的小鼠体型正常，称为野生型。科学家为研究小鼠IGFs基因对其表型的影响，做了相关实验，实验过程及结果如下：</w:t>
      </w:r>
    </w:p>
    <w:p w14:paraId="188CD192">
      <w:pPr>
        <w:keepNext w:val="0"/>
        <w:keepLines w:val="0"/>
        <w:pageBreakBefore w:val="0"/>
        <w:widowControl w:val="0"/>
        <w:kinsoku/>
        <w:wordWrap/>
        <w:overflowPunct/>
        <w:topLinePunct w:val="0"/>
        <w:autoSpaceDE/>
        <w:autoSpaceDN/>
        <w:bidi w:val="0"/>
        <w:adjustRightIn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drawing>
          <wp:anchor distT="0" distB="0" distL="114300" distR="114300" simplePos="0" relativeHeight="251662336" behindDoc="1" locked="0" layoutInCell="1" allowOverlap="1">
            <wp:simplePos x="0" y="0"/>
            <wp:positionH relativeFrom="column">
              <wp:posOffset>1270000</wp:posOffset>
            </wp:positionH>
            <wp:positionV relativeFrom="paragraph">
              <wp:posOffset>40005</wp:posOffset>
            </wp:positionV>
            <wp:extent cx="2748280" cy="1194435"/>
            <wp:effectExtent l="0" t="0" r="0" b="12065"/>
            <wp:wrapTight wrapText="bothSides">
              <wp:wrapPolygon>
                <wp:start x="0" y="0"/>
                <wp:lineTo x="0" y="21359"/>
                <wp:lineTo x="21460" y="21359"/>
                <wp:lineTo x="21460" y="0"/>
                <wp:lineTo x="0" y="0"/>
              </wp:wrapPolygon>
            </wp:wrapTight>
            <wp:docPr id="20" name="图片 8" descr="@@@de57f39f-5093-4882-8d0e-7aedd7b4d0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de57f39f-5093-4882-8d0e-7aedd7b4d0d1"/>
                    <pic:cNvPicPr>
                      <a:picLocks noChangeAspect="1"/>
                    </pic:cNvPicPr>
                  </pic:nvPicPr>
                  <pic:blipFill>
                    <a:blip r:embed="rId27"/>
                    <a:stretch>
                      <a:fillRect/>
                    </a:stretch>
                  </pic:blipFill>
                  <pic:spPr>
                    <a:xfrm>
                      <a:off x="0" y="0"/>
                      <a:ext cx="2748280" cy="1194435"/>
                    </a:xfrm>
                    <a:prstGeom prst="rect">
                      <a:avLst/>
                    </a:prstGeom>
                    <a:noFill/>
                    <a:ln>
                      <a:noFill/>
                    </a:ln>
                  </pic:spPr>
                </pic:pic>
              </a:graphicData>
            </a:graphic>
          </wp:anchor>
        </w:drawing>
      </w:r>
    </w:p>
    <w:p w14:paraId="4E504382">
      <w:pPr>
        <w:keepNext w:val="0"/>
        <w:keepLines w:val="0"/>
        <w:pageBreakBefore w:val="0"/>
        <w:widowControl w:val="0"/>
        <w:kinsoku/>
        <w:wordWrap/>
        <w:overflowPunct/>
        <w:topLinePunct w:val="0"/>
        <w:autoSpaceDE/>
        <w:autoSpaceDN/>
        <w:bidi w:val="0"/>
        <w:adjustRightIn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p>
    <w:p w14:paraId="3045C091">
      <w:pPr>
        <w:keepNext w:val="0"/>
        <w:keepLines w:val="0"/>
        <w:pageBreakBefore w:val="0"/>
        <w:widowControl w:val="0"/>
        <w:kinsoku/>
        <w:wordWrap/>
        <w:overflowPunct/>
        <w:topLinePunct w:val="0"/>
        <w:autoSpaceDE/>
        <w:autoSpaceDN/>
        <w:bidi w:val="0"/>
        <w:adjustRightIn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p>
    <w:p w14:paraId="20CE0753">
      <w:pPr>
        <w:keepNext w:val="0"/>
        <w:keepLines w:val="0"/>
        <w:pageBreakBefore w:val="0"/>
        <w:widowControl w:val="0"/>
        <w:kinsoku/>
        <w:wordWrap/>
        <w:overflowPunct/>
        <w:topLinePunct w:val="0"/>
        <w:autoSpaceDE/>
        <w:autoSpaceDN/>
        <w:bidi w:val="0"/>
        <w:adjustRightIn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p>
    <w:p w14:paraId="0DA6D75D">
      <w:pPr>
        <w:keepNext w:val="0"/>
        <w:keepLines w:val="0"/>
        <w:pageBreakBefore w:val="0"/>
        <w:widowControl w:val="0"/>
        <w:kinsoku/>
        <w:wordWrap/>
        <w:overflowPunct/>
        <w:topLinePunct w:val="0"/>
        <w:autoSpaceDE/>
        <w:autoSpaceDN/>
        <w:bidi w:val="0"/>
        <w:adjustRightIn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p>
    <w:p w14:paraId="5B8E7E3D">
      <w:pPr>
        <w:keepNext w:val="0"/>
        <w:keepLines w:val="0"/>
        <w:pageBreakBefore w:val="0"/>
        <w:widowControl w:val="0"/>
        <w:kinsoku/>
        <w:wordWrap/>
        <w:overflowPunct/>
        <w:topLinePunct w:val="0"/>
        <w:autoSpaceDE/>
        <w:autoSpaceDN/>
        <w:bidi w:val="0"/>
        <w:adjustRightIn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p>
    <w:p w14:paraId="6EC12803">
      <w:pPr>
        <w:keepNext w:val="0"/>
        <w:keepLines w:val="0"/>
        <w:pageBreakBefore w:val="0"/>
        <w:widowControl w:val="0"/>
        <w:kinsoku/>
        <w:wordWrap/>
        <w:overflowPunct/>
        <w:topLinePunct w:val="0"/>
        <w:autoSpaceDE/>
        <w:autoSpaceDN/>
        <w:bidi w:val="0"/>
        <w:adjustRightIn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p>
    <w:p w14:paraId="6A188C25">
      <w:pPr>
        <w:keepNext w:val="0"/>
        <w:keepLines w:val="0"/>
        <w:pageBreakBefore w:val="0"/>
        <w:widowControl w:val="0"/>
        <w:kinsoku/>
        <w:wordWrap/>
        <w:overflowPunct/>
        <w:topLinePunct w:val="0"/>
        <w:autoSpaceDE/>
        <w:autoSpaceDN/>
        <w:bidi w:val="0"/>
        <w:adjustRightInd/>
        <w:spacing w:line="240" w:lineRule="auto"/>
        <w:ind w:firstLine="420" w:firstLineChars="200"/>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①由实验一和实验二的结果分析，小鼠来自________（填“父本”或“母本”）的A基因可以表达；实验一中F</w:t>
      </w:r>
      <w:r>
        <w:rPr>
          <w:rFonts w:hint="eastAsia" w:ascii="宋体" w:hAnsi="宋体" w:eastAsia="宋体" w:cs="宋体"/>
          <w:color w:val="000000" w:themeColor="text1"/>
          <w:sz w:val="21"/>
          <w:szCs w:val="21"/>
          <w:vertAlign w:val="subscript"/>
          <w14:textFill>
            <w14:solidFill>
              <w14:schemeClr w14:val="tx1"/>
            </w14:solidFill>
          </w14:textFill>
        </w:rPr>
        <w:t xml:space="preserve">1 </w:t>
      </w:r>
      <w:r>
        <w:rPr>
          <w:rFonts w:hint="eastAsia" w:ascii="宋体" w:hAnsi="宋体" w:eastAsia="宋体" w:cs="宋体"/>
          <w:color w:val="000000" w:themeColor="text1"/>
          <w:sz w:val="21"/>
          <w:szCs w:val="21"/>
          <w14:textFill>
            <w14:solidFill>
              <w14:schemeClr w14:val="tx1"/>
            </w14:solidFill>
          </w14:textFill>
        </w:rPr>
        <w:t>小鼠的基因型及比例为______________________________</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2分</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w:t>
      </w:r>
    </w:p>
    <w:p w14:paraId="045C4F55">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②若实验一中母本小鼠的父本（M）表型为侏儒，则M的基因型是__________。若将实验一中母本小鼠进行测交，预测子代的表型为______________________。</w:t>
      </w:r>
    </w:p>
    <w:p w14:paraId="118CED24">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r>
        <w:rPr>
          <w:rFonts w:hint="eastAsia" w:ascii="宋体" w:hAnsi="宋体" w:cs="宋体"/>
          <w:color w:val="000000" w:themeColor="text1"/>
          <w:sz w:val="21"/>
          <w:szCs w:val="21"/>
          <w:lang w:val="en-US" w:eastAsia="zh-CN"/>
          <w14:textFill>
            <w14:solidFill>
              <w14:schemeClr w14:val="tx1"/>
            </w14:solidFill>
          </w14:textFill>
        </w:rPr>
        <w:t>4</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12分</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Ⅰ、同源重组技术结合tet</w:t>
      </w:r>
      <w:r>
        <w:rPr>
          <w:rFonts w:hint="eastAsia" w:ascii="宋体" w:hAnsi="宋体" w:eastAsia="宋体" w:cs="宋体"/>
          <w:color w:val="000000" w:themeColor="text1"/>
          <w:sz w:val="21"/>
          <w:szCs w:val="21"/>
          <w:vertAlign w:val="superscript"/>
          <w14:textFill>
            <w14:solidFill>
              <w14:schemeClr w14:val="tx1"/>
            </w14:solidFill>
          </w14:textFill>
        </w:rPr>
        <w:t>r</w:t>
      </w:r>
      <w:r>
        <w:rPr>
          <w:rFonts w:hint="eastAsia" w:ascii="宋体" w:hAnsi="宋体" w:eastAsia="宋体" w:cs="宋体"/>
          <w:color w:val="000000" w:themeColor="text1"/>
          <w:sz w:val="21"/>
          <w:szCs w:val="21"/>
          <w14:textFill>
            <w14:solidFill>
              <w14:schemeClr w14:val="tx1"/>
            </w14:solidFill>
          </w14:textFill>
        </w:rPr>
        <w:t>-sacB双重选择系统可对基因进行敲除与回补，研究基因的功能。下图是科研人员利用该方法对大肠杆菌LacZ基因进行敲除与回补的相关过程，其中tet</w:t>
      </w:r>
      <w:r>
        <w:rPr>
          <w:rFonts w:hint="eastAsia" w:ascii="宋体" w:hAnsi="宋体" w:eastAsia="宋体" w:cs="宋体"/>
          <w:color w:val="000000" w:themeColor="text1"/>
          <w:sz w:val="21"/>
          <w:szCs w:val="21"/>
          <w:vertAlign w:val="superscript"/>
          <w14:textFill>
            <w14:solidFill>
              <w14:schemeClr w14:val="tx1"/>
            </w14:solidFill>
          </w14:textFill>
        </w:rPr>
        <w:t>r</w:t>
      </w:r>
      <w:r>
        <w:rPr>
          <w:rFonts w:hint="eastAsia" w:ascii="宋体" w:hAnsi="宋体" w:eastAsia="宋体" w:cs="宋体"/>
          <w:color w:val="000000" w:themeColor="text1"/>
          <w:sz w:val="21"/>
          <w:szCs w:val="21"/>
          <w14:textFill>
            <w14:solidFill>
              <w14:schemeClr w14:val="tx1"/>
            </w14:solidFill>
          </w14:textFill>
        </w:rPr>
        <w:t>是四环素抗性基因，sacB基因是蔗糖致死基因，LacZ基因表达产物能将无色化合物X-gal水解成蓝色化合物。请回答下列问题：</w:t>
      </w:r>
    </w:p>
    <w:p w14:paraId="06306A72">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drawing>
          <wp:inline distT="0" distB="0" distL="114300" distR="114300">
            <wp:extent cx="5346700" cy="2527300"/>
            <wp:effectExtent l="0" t="0" r="0" b="0"/>
            <wp:docPr id="18" name="图片 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descr="学科网(www.zxxk.com)--教育资源门户，提供试卷、教案、课件、论文、素材以及各类教学资源下载，还有大量而丰富的教学相关资讯！"/>
                    <pic:cNvPicPr>
                      <a:picLocks noChangeAspect="1"/>
                    </pic:cNvPicPr>
                  </pic:nvPicPr>
                  <pic:blipFill>
                    <a:blip r:embed="rId28"/>
                    <a:stretch>
                      <a:fillRect/>
                    </a:stretch>
                  </pic:blipFill>
                  <pic:spPr>
                    <a:xfrm>
                      <a:off x="0" y="0"/>
                      <a:ext cx="5346700" cy="2527300"/>
                    </a:xfrm>
                    <a:prstGeom prst="rect">
                      <a:avLst/>
                    </a:prstGeom>
                    <a:noFill/>
                    <a:ln>
                      <a:noFill/>
                    </a:ln>
                  </pic:spPr>
                </pic:pic>
              </a:graphicData>
            </a:graphic>
          </wp:inline>
        </w:drawing>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6"/>
        <w:gridCol w:w="1476"/>
        <w:gridCol w:w="1476"/>
        <w:gridCol w:w="1476"/>
        <w:gridCol w:w="1476"/>
      </w:tblGrid>
      <w:tr w14:paraId="5D095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F3E0990">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限制酶</w:t>
            </w:r>
          </w:p>
        </w:tc>
        <w:tc>
          <w:tcPr>
            <w:tcW w:w="0" w:type="auto"/>
            <w:vAlign w:val="center"/>
          </w:tcPr>
          <w:p w14:paraId="15F3E9F7">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EcoRⅠ</w:t>
            </w:r>
          </w:p>
        </w:tc>
        <w:tc>
          <w:tcPr>
            <w:tcW w:w="0" w:type="auto"/>
            <w:vAlign w:val="center"/>
          </w:tcPr>
          <w:p w14:paraId="2275BC61">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BamHⅠ</w:t>
            </w:r>
          </w:p>
        </w:tc>
        <w:tc>
          <w:tcPr>
            <w:tcW w:w="0" w:type="auto"/>
            <w:vAlign w:val="center"/>
          </w:tcPr>
          <w:p w14:paraId="72918DB0">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HindⅢ</w:t>
            </w:r>
          </w:p>
        </w:tc>
        <w:tc>
          <w:tcPr>
            <w:tcW w:w="0" w:type="auto"/>
            <w:vAlign w:val="center"/>
          </w:tcPr>
          <w:p w14:paraId="01FD45B6">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XmaⅠ</w:t>
            </w:r>
          </w:p>
        </w:tc>
      </w:tr>
      <w:tr w14:paraId="07E5E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8CD5008">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识破序列和切割位点</w:t>
            </w:r>
          </w:p>
        </w:tc>
        <w:tc>
          <w:tcPr>
            <w:tcW w:w="0" w:type="auto"/>
            <w:vAlign w:val="center"/>
          </w:tcPr>
          <w:p w14:paraId="65D37300">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5'G↓AATTC3'</w:t>
            </w:r>
          </w:p>
        </w:tc>
        <w:tc>
          <w:tcPr>
            <w:tcW w:w="0" w:type="auto"/>
            <w:vAlign w:val="center"/>
          </w:tcPr>
          <w:p w14:paraId="416F22B8">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5'G↓GATCC3'</w:t>
            </w:r>
          </w:p>
        </w:tc>
        <w:tc>
          <w:tcPr>
            <w:tcW w:w="0" w:type="auto"/>
            <w:vAlign w:val="center"/>
          </w:tcPr>
          <w:p w14:paraId="0ACEB7D9">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5'A↓AGCTT3'</w:t>
            </w:r>
          </w:p>
        </w:tc>
        <w:tc>
          <w:tcPr>
            <w:tcW w:w="0" w:type="auto"/>
            <w:vAlign w:val="center"/>
          </w:tcPr>
          <w:p w14:paraId="05FBE657">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5'C↓CCGGG3'</w:t>
            </w:r>
          </w:p>
        </w:tc>
      </w:tr>
    </w:tbl>
    <w:p w14:paraId="6D744700">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（1）过程①PCR中影响退火温度</w:t>
      </w:r>
      <w:r>
        <w:rPr>
          <w:rFonts w:hint="eastAsia" w:ascii="宋体" w:hAnsi="宋体" w:eastAsia="宋体" w:cs="宋体"/>
          <w:color w:val="000000" w:themeColor="text1"/>
          <w:position w:val="0"/>
          <w:sz w:val="21"/>
          <w:szCs w:val="21"/>
          <w14:textFill>
            <w14:solidFill>
              <w14:schemeClr w14:val="tx1"/>
            </w14:solidFill>
          </w14:textFill>
        </w:rPr>
        <w:drawing>
          <wp:inline distT="0" distB="0" distL="114300" distR="114300">
            <wp:extent cx="133350" cy="177165"/>
            <wp:effectExtent l="0" t="0" r="6350" b="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29"/>
                    <a:stretch>
                      <a:fillRect/>
                    </a:stretch>
                  </pic:blipFill>
                  <pic:spPr>
                    <a:xfrm>
                      <a:off x="0" y="0"/>
                      <a:ext cx="133350" cy="177165"/>
                    </a:xfrm>
                    <a:prstGeom prst="rect">
                      <a:avLst/>
                    </a:prstGeom>
                    <a:noFill/>
                    <a:ln>
                      <a:noFill/>
                    </a:ln>
                  </pic:spPr>
                </pic:pic>
              </a:graphicData>
            </a:graphic>
          </wp:inline>
        </w:drawing>
      </w:r>
      <w:r>
        <w:rPr>
          <w:rFonts w:hint="eastAsia" w:ascii="宋体" w:hAnsi="宋体" w:eastAsia="宋体" w:cs="宋体"/>
          <w:color w:val="000000" w:themeColor="text1"/>
          <w:sz w:val="21"/>
          <w:szCs w:val="21"/>
          <w14:textFill>
            <w14:solidFill>
              <w14:schemeClr w14:val="tx1"/>
            </w14:solidFill>
          </w14:textFill>
        </w:rPr>
        <w:t>因素有引物的长度、________________________，若温度过低会导致_______________________________________。</w:t>
      </w:r>
    </w:p>
    <w:p w14:paraId="5A0BFD66">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（2）过程⑤中，设计两种引物时需在引物5'端分别添加上_____________________基因两端的同源序列。</w:t>
      </w:r>
    </w:p>
    <w:p w14:paraId="501C9A2E">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（3）过程⑦中，在含有________________________</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2分</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position w:val="0"/>
          <w:sz w:val="21"/>
          <w:szCs w:val="21"/>
          <w14:textFill>
            <w14:solidFill>
              <w14:schemeClr w14:val="tx1"/>
            </w14:solidFill>
          </w14:textFill>
        </w:rPr>
        <w:drawing>
          <wp:inline distT="0" distB="0" distL="114300" distR="114300">
            <wp:extent cx="133350" cy="177165"/>
            <wp:effectExtent l="0" t="0" r="6350"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29"/>
                    <a:stretch>
                      <a:fillRect/>
                    </a:stretch>
                  </pic:blipFill>
                  <pic:spPr>
                    <a:xfrm>
                      <a:off x="0" y="0"/>
                      <a:ext cx="133350" cy="177165"/>
                    </a:xfrm>
                    <a:prstGeom prst="rect">
                      <a:avLst/>
                    </a:prstGeom>
                    <a:noFill/>
                    <a:ln>
                      <a:noFill/>
                    </a:ln>
                  </pic:spPr>
                </pic:pic>
              </a:graphicData>
            </a:graphic>
          </wp:inline>
        </w:drawing>
      </w:r>
      <w:r>
        <w:rPr>
          <w:rFonts w:hint="eastAsia" w:ascii="宋体" w:hAnsi="宋体" w:eastAsia="宋体" w:cs="宋体"/>
          <w:color w:val="000000" w:themeColor="text1"/>
          <w:sz w:val="21"/>
          <w:szCs w:val="21"/>
          <w14:textFill>
            <w14:solidFill>
              <w14:schemeClr w14:val="tx1"/>
            </w14:solidFill>
          </w14:textFill>
        </w:rPr>
        <w:t>培养基中出现了白色菌落，即为筛选出的敲除LacZ基因菌株。过程⑧通过同源重组技术结合tetr-sacB双重选择系统可对LacZ基因进行回补，筛选LacZ基因回补菌株时应在培养基中添加___________________。</w:t>
      </w:r>
    </w:p>
    <w:p w14:paraId="6921B759">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Ⅱ、咪唑喹啉衍生物（BEZ）和长春花碱（VLB）用于治疗卵巢癌、肝癌等癌症，为研究二者对肾癌的治疗效果，研究人员进行了系列实验。</w:t>
      </w:r>
    </w:p>
    <w:p w14:paraId="6C0ACA2D">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drawing>
          <wp:inline distT="0" distB="0" distL="114300" distR="114300">
            <wp:extent cx="2748915" cy="1478280"/>
            <wp:effectExtent l="0" t="0" r="6985" b="7620"/>
            <wp:docPr id="23" name="图片 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学科网(www.zxxk.com)--教育资源门户，提供试卷、教案、课件、论文、素材以及各类教学资源下载，还有大量而丰富的教学相关资讯！"/>
                    <pic:cNvPicPr>
                      <a:picLocks noChangeAspect="1"/>
                    </pic:cNvPicPr>
                  </pic:nvPicPr>
                  <pic:blipFill>
                    <a:blip r:embed="rId30"/>
                    <a:stretch>
                      <a:fillRect/>
                    </a:stretch>
                  </pic:blipFill>
                  <pic:spPr>
                    <a:xfrm>
                      <a:off x="0" y="0"/>
                      <a:ext cx="2748915" cy="1478280"/>
                    </a:xfrm>
                    <a:prstGeom prst="rect">
                      <a:avLst/>
                    </a:prstGeom>
                    <a:noFill/>
                    <a:ln>
                      <a:noFill/>
                    </a:ln>
                  </pic:spPr>
                </pic:pic>
              </a:graphicData>
            </a:graphic>
          </wp:inline>
        </w:drawing>
      </w:r>
      <w:r>
        <w:rPr>
          <w:rFonts w:hint="eastAsia" w:ascii="宋体" w:hAnsi="宋体" w:eastAsia="宋体" w:cs="宋体"/>
          <w:color w:val="000000" w:themeColor="text1"/>
          <w:sz w:val="21"/>
          <w:szCs w:val="21"/>
          <w14:textFill>
            <w14:solidFill>
              <w14:schemeClr w14:val="tx1"/>
            </w14:solidFill>
          </w14:textFill>
        </w:rPr>
        <w:drawing>
          <wp:inline distT="0" distB="0" distL="114300" distR="114300">
            <wp:extent cx="4276725" cy="1742440"/>
            <wp:effectExtent l="0" t="0" r="3175" b="10160"/>
            <wp:docPr id="21" name="图片 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descr="学科网(www.zxxk.com)--教育资源门户，提供试卷、教案、课件、论文、素材以及各类教学资源下载，还有大量而丰富的教学相关资讯！"/>
                    <pic:cNvPicPr>
                      <a:picLocks noChangeAspect="1"/>
                    </pic:cNvPicPr>
                  </pic:nvPicPr>
                  <pic:blipFill>
                    <a:blip r:embed="rId31"/>
                    <a:stretch>
                      <a:fillRect/>
                    </a:stretch>
                  </pic:blipFill>
                  <pic:spPr>
                    <a:xfrm>
                      <a:off x="0" y="0"/>
                      <a:ext cx="4276725" cy="1742440"/>
                    </a:xfrm>
                    <a:prstGeom prst="rect">
                      <a:avLst/>
                    </a:prstGeom>
                    <a:noFill/>
                    <a:ln>
                      <a:noFill/>
                    </a:ln>
                  </pic:spPr>
                </pic:pic>
              </a:graphicData>
            </a:graphic>
          </wp:inline>
        </w:drawing>
      </w:r>
    </w:p>
    <w:p w14:paraId="638C15B9">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探究BEZ和VLB单独及联合使用对肾癌细胞凋亡的影响，结果如图1所示。该实验的自变量是____________________________________________________________________，实验结果表明______________________________________对癌细胞凋亡无明显影响。</w:t>
      </w:r>
    </w:p>
    <w:p w14:paraId="6B98E216">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Caspase—3是细胞内促凋亡蛋白，Mcl—1是Caspase—3基因表达的调控因子。为研究BEZ和VLB治疗肾癌的机制，研究人员对各组细胞进行实验处理24小时后，检测Mcl—1的mRNA和蛋白质含量，结果如图2。选用GAPDH作为内参的原因是______________________</w:t>
      </w:r>
    </w:p>
    <w:p w14:paraId="5C6B81D6">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________________________________________________________________________。</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2分</w:t>
      </w:r>
      <w:r>
        <w:rPr>
          <w:rFonts w:hint="eastAsia" w:ascii="宋体" w:hAnsi="宋体" w:eastAsia="宋体" w:cs="宋体"/>
          <w:color w:val="000000" w:themeColor="text1"/>
          <w:sz w:val="21"/>
          <w:szCs w:val="21"/>
          <w:lang w:eastAsia="zh-CN"/>
          <w14:textFill>
            <w14:solidFill>
              <w14:schemeClr w14:val="tx1"/>
            </w14:solidFill>
          </w14:textFill>
        </w:rPr>
        <w:t>）</w:t>
      </w:r>
    </w:p>
    <w:p w14:paraId="4C0008CB">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（6）综合图1、图2结果，在下列箭头上标明“+”或“-”（分别表示“促进”和“抑制”），图示药物发挥作用的机理。</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2分</w:t>
      </w:r>
      <w:r>
        <w:rPr>
          <w:rFonts w:hint="eastAsia" w:ascii="宋体" w:hAnsi="宋体" w:eastAsia="宋体" w:cs="宋体"/>
          <w:color w:val="000000" w:themeColor="text1"/>
          <w:sz w:val="21"/>
          <w:szCs w:val="21"/>
          <w:lang w:eastAsia="zh-CN"/>
          <w14:textFill>
            <w14:solidFill>
              <w14:schemeClr w14:val="tx1"/>
            </w14:solidFill>
          </w14:textFill>
        </w:rPr>
        <w:t>）</w:t>
      </w:r>
    </w:p>
    <w:p w14:paraId="6B062716">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drawing>
          <wp:inline distT="0" distB="0" distL="114300" distR="114300">
            <wp:extent cx="5334000" cy="438785"/>
            <wp:effectExtent l="0" t="0" r="0" b="5715"/>
            <wp:docPr id="14" name="图片 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descr="学科网(www.zxxk.com)--教育资源门户，提供试卷、教案、课件、论文、素材以及各类教学资源下载，还有大量而丰富的教学相关资讯！"/>
                    <pic:cNvPicPr>
                      <a:picLocks noChangeAspect="1"/>
                    </pic:cNvPicPr>
                  </pic:nvPicPr>
                  <pic:blipFill>
                    <a:blip r:embed="rId32">
                      <a:lum bright="-12000" contrast="42000"/>
                    </a:blip>
                    <a:stretch>
                      <a:fillRect/>
                    </a:stretch>
                  </pic:blipFill>
                  <pic:spPr>
                    <a:xfrm>
                      <a:off x="0" y="0"/>
                      <a:ext cx="5334000" cy="438785"/>
                    </a:xfrm>
                    <a:prstGeom prst="rect">
                      <a:avLst/>
                    </a:prstGeom>
                    <a:noFill/>
                    <a:ln>
                      <a:noFill/>
                    </a:ln>
                  </pic:spPr>
                </pic:pic>
              </a:graphicData>
            </a:graphic>
          </wp:inline>
        </w:drawing>
      </w:r>
    </w:p>
    <w:p w14:paraId="2FABFFF0">
      <w:pPr>
        <w:spacing w:line="240" w:lineRule="auto"/>
        <w:jc w:val="left"/>
        <w:textAlignment w:val="center"/>
        <w:rPr>
          <w:rFonts w:ascii="宋体" w:hAnsi="宋体" w:eastAsia="宋体" w:cs="宋体"/>
          <w:color w:val="000000" w:themeColor="text1"/>
          <w14:textFill>
            <w14:solidFill>
              <w14:schemeClr w14:val="tx1"/>
            </w14:solidFill>
          </w14:textFill>
        </w:rPr>
      </w:pPr>
    </w:p>
    <w:p w14:paraId="074D1EB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center"/>
        <w:rPr>
          <w:rFonts w:hint="eastAsia" w:ascii="宋体" w:hAnsi="宋体" w:cs="宋体"/>
          <w:b w:val="0"/>
          <w:bCs w:val="0"/>
          <w:color w:val="000000" w:themeColor="text1"/>
          <w:sz w:val="21"/>
          <w:szCs w:val="21"/>
          <w:lang w:val="en-US" w:eastAsia="zh-CN"/>
          <w14:textFill>
            <w14:solidFill>
              <w14:schemeClr w14:val="tx1"/>
            </w14:solidFill>
          </w14:textFill>
        </w:rPr>
      </w:pPr>
    </w:p>
    <w:p w14:paraId="4D64051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center"/>
        <w:rPr>
          <w:rFonts w:hint="eastAsia" w:ascii="宋体" w:hAnsi="宋体" w:cs="宋体"/>
          <w:b w:val="0"/>
          <w:bCs w:val="0"/>
          <w:color w:val="000000" w:themeColor="text1"/>
          <w:sz w:val="21"/>
          <w:szCs w:val="21"/>
          <w:lang w:val="en-US" w:eastAsia="zh-CN"/>
          <w14:textFill>
            <w14:solidFill>
              <w14:schemeClr w14:val="tx1"/>
            </w14:solidFill>
          </w14:textFill>
        </w:rPr>
      </w:pPr>
    </w:p>
    <w:p w14:paraId="00FDCE1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center"/>
        <w:rPr>
          <w:rFonts w:hint="eastAsia" w:ascii="宋体" w:hAnsi="宋体" w:cs="宋体"/>
          <w:b w:val="0"/>
          <w:bCs w:val="0"/>
          <w:color w:val="000000" w:themeColor="text1"/>
          <w:sz w:val="21"/>
          <w:szCs w:val="21"/>
          <w:lang w:val="en-US" w:eastAsia="zh-CN"/>
          <w14:textFill>
            <w14:solidFill>
              <w14:schemeClr w14:val="tx1"/>
            </w14:solidFill>
          </w14:textFill>
        </w:rPr>
      </w:pPr>
    </w:p>
    <w:p w14:paraId="33EEB77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center"/>
        <w:rPr>
          <w:rFonts w:hint="eastAsia" w:ascii="宋体" w:hAnsi="宋体" w:cs="宋体"/>
          <w:b w:val="0"/>
          <w:bCs w:val="0"/>
          <w:color w:val="000000" w:themeColor="text1"/>
          <w:sz w:val="21"/>
          <w:szCs w:val="21"/>
          <w:lang w:val="en-US" w:eastAsia="zh-CN"/>
          <w14:textFill>
            <w14:solidFill>
              <w14:schemeClr w14:val="tx1"/>
            </w14:solidFill>
          </w14:textFill>
        </w:rPr>
      </w:pPr>
    </w:p>
    <w:p w14:paraId="2F01B0E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center"/>
        <w:rPr>
          <w:rFonts w:hint="eastAsia" w:ascii="宋体" w:hAnsi="宋体" w:cs="宋体"/>
          <w:b w:val="0"/>
          <w:bCs w:val="0"/>
          <w:color w:val="000000" w:themeColor="text1"/>
          <w:sz w:val="21"/>
          <w:szCs w:val="21"/>
          <w:lang w:val="en-US" w:eastAsia="zh-CN"/>
          <w14:textFill>
            <w14:solidFill>
              <w14:schemeClr w14:val="tx1"/>
            </w14:solidFill>
          </w14:textFill>
        </w:rPr>
      </w:pPr>
    </w:p>
    <w:p w14:paraId="2C4A2D7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center"/>
        <w:rPr>
          <w:rFonts w:hint="eastAsia" w:ascii="宋体" w:hAnsi="宋体" w:cs="宋体"/>
          <w:b w:val="0"/>
          <w:bCs w:val="0"/>
          <w:color w:val="000000" w:themeColor="text1"/>
          <w:sz w:val="21"/>
          <w:szCs w:val="21"/>
          <w:lang w:val="en-US" w:eastAsia="zh-CN"/>
          <w14:textFill>
            <w14:solidFill>
              <w14:schemeClr w14:val="tx1"/>
            </w14:solidFill>
          </w14:textFill>
        </w:rPr>
      </w:pPr>
    </w:p>
    <w:p w14:paraId="1131EF9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center"/>
        <w:rPr>
          <w:rFonts w:hint="eastAsia" w:ascii="宋体" w:hAnsi="宋体" w:cs="宋体"/>
          <w:b w:val="0"/>
          <w:bCs w:val="0"/>
          <w:color w:val="000000" w:themeColor="text1"/>
          <w:sz w:val="21"/>
          <w:szCs w:val="21"/>
          <w:lang w:val="en-US" w:eastAsia="zh-CN"/>
          <w14:textFill>
            <w14:solidFill>
              <w14:schemeClr w14:val="tx1"/>
            </w14:solidFill>
          </w14:textFill>
        </w:rPr>
      </w:pPr>
    </w:p>
    <w:p w14:paraId="4385F54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center"/>
        <w:rPr>
          <w:rFonts w:hint="eastAsia" w:ascii="宋体" w:hAnsi="宋体" w:cs="宋体"/>
          <w:b w:val="0"/>
          <w:bCs w:val="0"/>
          <w:color w:val="000000" w:themeColor="text1"/>
          <w:sz w:val="21"/>
          <w:szCs w:val="21"/>
          <w:lang w:val="en-US" w:eastAsia="zh-CN"/>
          <w14:textFill>
            <w14:solidFill>
              <w14:schemeClr w14:val="tx1"/>
            </w14:solidFill>
          </w14:textFill>
        </w:rPr>
      </w:pPr>
    </w:p>
    <w:p w14:paraId="066F3F4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center"/>
        <w:rPr>
          <w:rFonts w:hint="eastAsia" w:ascii="宋体" w:hAnsi="宋体" w:cs="宋体"/>
          <w:b w:val="0"/>
          <w:bCs w:val="0"/>
          <w:color w:val="000000" w:themeColor="text1"/>
          <w:sz w:val="21"/>
          <w:szCs w:val="21"/>
          <w:lang w:val="en-US" w:eastAsia="zh-CN"/>
          <w14:textFill>
            <w14:solidFill>
              <w14:schemeClr w14:val="tx1"/>
            </w14:solidFill>
          </w14:textFill>
        </w:rPr>
      </w:pPr>
    </w:p>
    <w:p w14:paraId="19AB469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center"/>
        <w:rPr>
          <w:rFonts w:hint="eastAsia" w:ascii="宋体" w:hAnsi="宋体" w:cs="宋体"/>
          <w:b w:val="0"/>
          <w:bCs w:val="0"/>
          <w:color w:val="000000" w:themeColor="text1"/>
          <w:sz w:val="21"/>
          <w:szCs w:val="21"/>
          <w:lang w:val="en-US" w:eastAsia="zh-CN"/>
          <w14:textFill>
            <w14:solidFill>
              <w14:schemeClr w14:val="tx1"/>
            </w14:solidFill>
          </w14:textFill>
        </w:rPr>
      </w:pPr>
    </w:p>
    <w:p w14:paraId="0A0EEAA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center"/>
        <w:rPr>
          <w:rFonts w:hint="eastAsia" w:ascii="宋体" w:hAnsi="宋体" w:cs="宋体"/>
          <w:b w:val="0"/>
          <w:bCs w:val="0"/>
          <w:color w:val="000000" w:themeColor="text1"/>
          <w:sz w:val="21"/>
          <w:szCs w:val="21"/>
          <w:lang w:val="en-US" w:eastAsia="zh-CN"/>
          <w14:textFill>
            <w14:solidFill>
              <w14:schemeClr w14:val="tx1"/>
            </w14:solidFill>
          </w14:textFill>
        </w:rPr>
      </w:pPr>
    </w:p>
    <w:p w14:paraId="5D961E0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center"/>
        <w:rPr>
          <w:rFonts w:hint="eastAsia" w:ascii="宋体" w:hAnsi="宋体" w:cs="宋体"/>
          <w:b w:val="0"/>
          <w:bCs w:val="0"/>
          <w:color w:val="000000" w:themeColor="text1"/>
          <w:sz w:val="21"/>
          <w:szCs w:val="21"/>
          <w:lang w:val="en-US" w:eastAsia="zh-CN"/>
          <w14:textFill>
            <w14:solidFill>
              <w14:schemeClr w14:val="tx1"/>
            </w14:solidFill>
          </w14:textFill>
        </w:rPr>
      </w:pPr>
    </w:p>
    <w:p w14:paraId="680896A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center"/>
        <w:rPr>
          <w:rFonts w:hint="eastAsia" w:ascii="宋体" w:hAnsi="宋体" w:cs="宋体"/>
          <w:b w:val="0"/>
          <w:bCs w:val="0"/>
          <w:color w:val="000000" w:themeColor="text1"/>
          <w:sz w:val="21"/>
          <w:szCs w:val="21"/>
          <w:lang w:val="en-US" w:eastAsia="zh-CN"/>
          <w14:textFill>
            <w14:solidFill>
              <w14:schemeClr w14:val="tx1"/>
            </w14:solidFill>
          </w14:textFill>
        </w:rPr>
      </w:pPr>
    </w:p>
    <w:p w14:paraId="14A8A5F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center"/>
        <w:rPr>
          <w:rFonts w:hint="eastAsia" w:ascii="宋体" w:hAnsi="宋体" w:cs="宋体"/>
          <w:b w:val="0"/>
          <w:bCs w:val="0"/>
          <w:color w:val="000000" w:themeColor="text1"/>
          <w:sz w:val="21"/>
          <w:szCs w:val="21"/>
          <w:lang w:val="en-US" w:eastAsia="zh-CN"/>
          <w14:textFill>
            <w14:solidFill>
              <w14:schemeClr w14:val="tx1"/>
            </w14:solidFill>
          </w14:textFill>
        </w:rPr>
      </w:pPr>
    </w:p>
    <w:p w14:paraId="003F681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center"/>
        <w:rPr>
          <w:rFonts w:hint="eastAsia" w:ascii="宋体" w:hAnsi="宋体" w:cs="宋体"/>
          <w:b w:val="0"/>
          <w:bCs w:val="0"/>
          <w:color w:val="000000" w:themeColor="text1"/>
          <w:sz w:val="21"/>
          <w:szCs w:val="21"/>
          <w:lang w:val="en-US" w:eastAsia="zh-CN"/>
          <w14:textFill>
            <w14:solidFill>
              <w14:schemeClr w14:val="tx1"/>
            </w14:solidFill>
          </w14:textFill>
        </w:rPr>
      </w:pPr>
    </w:p>
    <w:p w14:paraId="39BB7B4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center"/>
        <w:rPr>
          <w:rFonts w:hint="eastAsia" w:ascii="宋体" w:hAnsi="宋体" w:cs="宋体"/>
          <w:b w:val="0"/>
          <w:bCs w:val="0"/>
          <w:color w:val="000000" w:themeColor="text1"/>
          <w:sz w:val="21"/>
          <w:szCs w:val="21"/>
          <w:lang w:val="en-US" w:eastAsia="zh-CN"/>
          <w14:textFill>
            <w14:solidFill>
              <w14:schemeClr w14:val="tx1"/>
            </w14:solidFill>
          </w14:textFill>
        </w:rPr>
      </w:pPr>
    </w:p>
    <w:p w14:paraId="49C47BE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center"/>
        <w:rPr>
          <w:rFonts w:hint="eastAsia" w:ascii="宋体" w:hAnsi="宋体" w:cs="宋体"/>
          <w:b w:val="0"/>
          <w:bCs w:val="0"/>
          <w:color w:val="000000" w:themeColor="text1"/>
          <w:sz w:val="21"/>
          <w:szCs w:val="21"/>
          <w:lang w:val="en-US" w:eastAsia="zh-CN"/>
          <w14:textFill>
            <w14:solidFill>
              <w14:schemeClr w14:val="tx1"/>
            </w14:solidFill>
          </w14:textFill>
        </w:rPr>
      </w:pPr>
    </w:p>
    <w:p w14:paraId="5D1263F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center"/>
        <w:rPr>
          <w:rFonts w:hint="eastAsia" w:ascii="宋体" w:hAnsi="宋体" w:cs="宋体"/>
          <w:b w:val="0"/>
          <w:bCs w:val="0"/>
          <w:color w:val="000000" w:themeColor="text1"/>
          <w:sz w:val="21"/>
          <w:szCs w:val="21"/>
          <w:lang w:val="en-US" w:eastAsia="zh-CN"/>
          <w14:textFill>
            <w14:solidFill>
              <w14:schemeClr w14:val="tx1"/>
            </w14:solidFill>
          </w14:textFill>
        </w:rPr>
      </w:pPr>
    </w:p>
    <w:p w14:paraId="379F6DB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center"/>
        <w:rPr>
          <w:rFonts w:hint="eastAsia" w:ascii="宋体" w:hAnsi="宋体" w:cs="宋体"/>
          <w:b w:val="0"/>
          <w:bCs w:val="0"/>
          <w:color w:val="000000" w:themeColor="text1"/>
          <w:sz w:val="21"/>
          <w:szCs w:val="21"/>
          <w:lang w:val="en-US" w:eastAsia="zh-CN"/>
          <w14:textFill>
            <w14:solidFill>
              <w14:schemeClr w14:val="tx1"/>
            </w14:solidFill>
          </w14:textFill>
        </w:rPr>
      </w:pPr>
    </w:p>
    <w:p w14:paraId="5A0DC137">
      <w:pPr>
        <w:spacing w:line="240" w:lineRule="auto"/>
        <w:jc w:val="center"/>
        <w:rPr>
          <w:rFonts w:hint="eastAsia" w:ascii="Times New Roman" w:hAnsi="Times New Roman" w:eastAsia="Times New Roman" w:cs="Times New Roman"/>
          <w:b/>
          <w:color w:val="000000" w:themeColor="text1"/>
          <w:sz w:val="32"/>
          <w14:textFill>
            <w14:solidFill>
              <w14:schemeClr w14:val="tx1"/>
            </w14:solidFill>
          </w14:textFill>
        </w:rPr>
      </w:pPr>
      <w:r>
        <w:rPr>
          <w:rFonts w:hint="eastAsia" w:eastAsia="宋体" w:cs="Times New Roman"/>
          <w:b/>
          <w:color w:val="000000" w:themeColor="text1"/>
          <w:sz w:val="32"/>
          <w:lang w:eastAsia="zh-CN"/>
          <w14:textFill>
            <w14:solidFill>
              <w14:schemeClr w14:val="tx1"/>
            </w14:solidFill>
          </w14:textFill>
        </w:rPr>
        <w:t>苏通练习精品卷</w:t>
      </w:r>
      <w:r>
        <w:rPr>
          <w:rFonts w:hint="eastAsia" w:ascii="Times New Roman" w:hAnsi="Times New Roman" w:eastAsia="Times New Roman" w:cs="Times New Roman"/>
          <w:b/>
          <w:color w:val="000000" w:themeColor="text1"/>
          <w:sz w:val="32"/>
          <w14:textFill>
            <w14:solidFill>
              <w14:schemeClr w14:val="tx1"/>
            </w14:solidFill>
          </w14:textFill>
        </w:rPr>
        <w:t>2024届高三生物周练（</w:t>
      </w:r>
      <w:r>
        <w:rPr>
          <w:rFonts w:hint="eastAsia" w:cs="Times New Roman"/>
          <w:b/>
          <w:color w:val="000000" w:themeColor="text1"/>
          <w:sz w:val="32"/>
          <w:lang w:val="en-US" w:eastAsia="zh-CN"/>
          <w14:textFill>
            <w14:solidFill>
              <w14:schemeClr w14:val="tx1"/>
            </w14:solidFill>
          </w14:textFill>
        </w:rPr>
        <w:t>二</w:t>
      </w:r>
      <w:r>
        <w:rPr>
          <w:rFonts w:hint="eastAsia" w:ascii="Times New Roman" w:hAnsi="Times New Roman" w:eastAsia="Times New Roman" w:cs="Times New Roman"/>
          <w:b/>
          <w:color w:val="000000" w:themeColor="text1"/>
          <w:sz w:val="32"/>
          <w14:textFill>
            <w14:solidFill>
              <w14:schemeClr w14:val="tx1"/>
            </w14:solidFill>
          </w14:textFill>
        </w:rPr>
        <w:t>十</w:t>
      </w:r>
      <w:r>
        <w:rPr>
          <w:rFonts w:hint="eastAsia" w:cs="Times New Roman"/>
          <w:b/>
          <w:color w:val="000000" w:themeColor="text1"/>
          <w:sz w:val="32"/>
          <w:lang w:val="en-US" w:eastAsia="zh-CN"/>
          <w14:textFill>
            <w14:solidFill>
              <w14:schemeClr w14:val="tx1"/>
            </w14:solidFill>
          </w14:textFill>
        </w:rPr>
        <w:t>七</w:t>
      </w:r>
      <w:r>
        <w:rPr>
          <w:rFonts w:hint="eastAsia" w:ascii="Times New Roman" w:hAnsi="Times New Roman" w:eastAsia="Times New Roman" w:cs="Times New Roman"/>
          <w:b/>
          <w:color w:val="000000" w:themeColor="text1"/>
          <w:sz w:val="32"/>
          <w14:textFill>
            <w14:solidFill>
              <w14:schemeClr w14:val="tx1"/>
            </w14:solidFill>
          </w14:textFill>
        </w:rPr>
        <w:t>）</w:t>
      </w:r>
    </w:p>
    <w:p w14:paraId="31BE10B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center"/>
        <w:rPr>
          <w:rFonts w:hint="default" w:ascii="宋体" w:hAnsi="宋体" w:cs="宋体"/>
          <w:b w:val="0"/>
          <w:bCs w:val="0"/>
          <w:color w:val="000000" w:themeColor="text1"/>
          <w:sz w:val="21"/>
          <w:szCs w:val="21"/>
          <w:lang w:val="en-US" w:eastAsia="zh-CN"/>
          <w14:textFill>
            <w14:solidFill>
              <w14:schemeClr w14:val="tx1"/>
            </w14:solidFill>
          </w14:textFill>
        </w:rPr>
      </w:pPr>
      <w:r>
        <w:rPr>
          <w:rFonts w:hint="eastAsia" w:ascii="宋体" w:hAnsi="宋体" w:cs="宋体"/>
          <w:b w:val="0"/>
          <w:bCs w:val="0"/>
          <w:color w:val="000000" w:themeColor="text1"/>
          <w:sz w:val="21"/>
          <w:szCs w:val="21"/>
          <w:lang w:val="en-US" w:eastAsia="zh-CN"/>
          <w14:textFill>
            <w14:solidFill>
              <w14:schemeClr w14:val="tx1"/>
            </w14:solidFill>
          </w14:textFill>
        </w:rPr>
        <w:t>1-14：ADBDC  BCCDA  CBCD</w:t>
      </w:r>
    </w:p>
    <w:p w14:paraId="61AE3882">
      <w:pPr>
        <w:keepNext w:val="0"/>
        <w:keepLines w:val="0"/>
        <w:pageBreakBefore w:val="0"/>
        <w:widowControl w:val="0"/>
        <w:numPr>
          <w:ilvl w:val="0"/>
          <w:numId w:val="2"/>
        </w:numPr>
        <w:kinsoku/>
        <w:wordWrap/>
        <w:overflowPunct/>
        <w:topLinePunct w:val="0"/>
        <w:autoSpaceDE/>
        <w:autoSpaceDN/>
        <w:bidi w:val="0"/>
        <w:adjustRightInd/>
        <w:snapToGrid/>
        <w:spacing w:line="240" w:lineRule="auto"/>
        <w:jc w:val="left"/>
        <w:textAlignment w:val="center"/>
        <w:rPr>
          <w:rFonts w:hint="default" w:ascii="宋体" w:hAnsi="宋体" w:cs="宋体"/>
          <w:b w:val="0"/>
          <w:bCs w:val="0"/>
          <w:color w:val="000000" w:themeColor="text1"/>
          <w:sz w:val="21"/>
          <w:szCs w:val="21"/>
          <w:lang w:val="en-US" w:eastAsia="zh-CN"/>
          <w14:textFill>
            <w14:solidFill>
              <w14:schemeClr w14:val="tx1"/>
            </w14:solidFill>
          </w14:textFill>
        </w:rPr>
      </w:pPr>
      <w:r>
        <w:rPr>
          <w:rFonts w:hint="eastAsia" w:ascii="宋体" w:hAnsi="宋体" w:cs="宋体"/>
          <w:b w:val="0"/>
          <w:bCs w:val="0"/>
          <w:color w:val="000000" w:themeColor="text1"/>
          <w:sz w:val="21"/>
          <w:szCs w:val="21"/>
          <w:lang w:val="en-US" w:eastAsia="zh-CN"/>
          <w14:textFill>
            <w14:solidFill>
              <w14:schemeClr w14:val="tx1"/>
            </w14:solidFill>
          </w14:textFill>
        </w:rPr>
        <w:t>BCD  16.AC   17.BCD   18.ABD   19.AD</w:t>
      </w:r>
    </w:p>
    <w:p w14:paraId="3D9586B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cs="宋体"/>
          <w:b w:val="0"/>
          <w:bCs w:val="0"/>
          <w:color w:val="000000" w:themeColor="text1"/>
          <w:sz w:val="21"/>
          <w:szCs w:val="21"/>
          <w:lang w:val="en-US" w:eastAsia="zh-CN"/>
          <w14:textFill>
            <w14:solidFill>
              <w14:schemeClr w14:val="tx1"/>
            </w14:solidFill>
          </w14:textFill>
        </w:rPr>
        <w:t>20.</w:t>
      </w:r>
      <w:r>
        <w:rPr>
          <w:rFonts w:hint="eastAsia" w:ascii="宋体" w:hAnsi="宋体" w:eastAsia="宋体" w:cs="宋体"/>
          <w:b w:val="0"/>
          <w:bCs w:val="0"/>
          <w:color w:val="000000" w:themeColor="text1"/>
          <w:sz w:val="21"/>
          <w:szCs w:val="21"/>
          <w:lang w:val="en-US" w:eastAsia="zh-CN"/>
          <w14:textFill>
            <w14:solidFill>
              <w14:schemeClr w14:val="tx1"/>
            </w14:solidFill>
          </w14:textFill>
        </w:rPr>
        <w:t>（12分）</w:t>
      </w:r>
      <w:r>
        <w:rPr>
          <w:rFonts w:hint="eastAsia" w:ascii="宋体" w:hAnsi="宋体" w:cs="宋体"/>
          <w:b w:val="0"/>
          <w:bCs w:val="0"/>
          <w:color w:val="000000" w:themeColor="text1"/>
          <w:sz w:val="21"/>
          <w:szCs w:val="21"/>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1"/>
          <w:szCs w:val="21"/>
          <w:lang w:val="en-US" w:eastAsia="zh-CN"/>
          <w14:textFill>
            <w14:solidFill>
              <w14:schemeClr w14:val="tx1"/>
            </w14:solidFill>
          </w14:textFill>
        </w:rPr>
        <w:t>（1）</w:t>
      </w:r>
      <w:r>
        <w:rPr>
          <w:rFonts w:hint="eastAsia" w:ascii="宋体" w:hAnsi="宋体" w:eastAsia="宋体" w:cs="宋体"/>
          <w:b w:val="0"/>
          <w:bCs w:val="0"/>
          <w:color w:val="000000" w:themeColor="text1"/>
          <w:sz w:val="21"/>
          <w:szCs w:val="21"/>
          <w14:textFill>
            <w14:solidFill>
              <w14:schemeClr w14:val="tx1"/>
            </w14:solidFill>
          </w14:textFill>
        </w:rPr>
        <w:t xml:space="preserve"> 类囊体     蛋白质（或酶）     叶绿素和类胡萝卜素</w:t>
      </w:r>
      <w:r>
        <w:rPr>
          <w:rFonts w:hint="eastAsia" w:ascii="宋体" w:hAnsi="宋体" w:cs="宋体"/>
          <w:b w:val="0"/>
          <w:bCs w:val="0"/>
          <w:color w:val="000000" w:themeColor="text1"/>
          <w:sz w:val="21"/>
          <w:szCs w:val="21"/>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2</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协助扩散    高能电子（e-）（或电子传递，或电能）</w:t>
      </w:r>
      <w:r>
        <w:rPr>
          <w:rFonts w:hint="eastAsia" w:ascii="宋体" w:hAnsi="宋体" w:cs="宋体"/>
          <w:b w:val="0"/>
          <w:bCs w:val="0"/>
          <w:color w:val="000000" w:themeColor="text1"/>
          <w:sz w:val="21"/>
          <w:szCs w:val="21"/>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1"/>
          <w:szCs w:val="21"/>
          <w14:textFill>
            <w14:solidFill>
              <w14:schemeClr w14:val="tx1"/>
            </w14:solidFill>
          </w14:textFill>
        </w:rPr>
        <w:t xml:space="preserve"> 内腔中H</w:t>
      </w:r>
      <w:r>
        <w:rPr>
          <w:rFonts w:hint="eastAsia" w:ascii="宋体" w:hAnsi="宋体" w:eastAsia="宋体" w:cs="宋体"/>
          <w:b w:val="0"/>
          <w:bCs w:val="0"/>
          <w:color w:val="000000" w:themeColor="text1"/>
          <w:sz w:val="21"/>
          <w:szCs w:val="21"/>
          <w:vertAlign w:val="subscript"/>
          <w14:textFill>
            <w14:solidFill>
              <w14:schemeClr w14:val="tx1"/>
            </w14:solidFill>
          </w14:textFill>
        </w:rPr>
        <w:t>2</w:t>
      </w:r>
      <w:r>
        <w:rPr>
          <w:rFonts w:hint="eastAsia" w:ascii="宋体" w:hAnsi="宋体" w:eastAsia="宋体" w:cs="宋体"/>
          <w:b w:val="0"/>
          <w:bCs w:val="0"/>
          <w:color w:val="000000" w:themeColor="text1"/>
          <w:sz w:val="21"/>
          <w:szCs w:val="21"/>
          <w14:textFill>
            <w14:solidFill>
              <w14:schemeClr w14:val="tx1"/>
            </w14:solidFill>
          </w14:textFill>
        </w:rPr>
        <w:t>S分解产生H</w:t>
      </w:r>
      <w:r>
        <w:rPr>
          <w:rFonts w:hint="eastAsia" w:ascii="宋体" w:hAnsi="宋体" w:eastAsia="宋体" w:cs="宋体"/>
          <w:b w:val="0"/>
          <w:bCs w:val="0"/>
          <w:color w:val="000000" w:themeColor="text1"/>
          <w:sz w:val="21"/>
          <w:szCs w:val="21"/>
          <w:vertAlign w:val="superscript"/>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，细胞质基质中NADPH合成消耗H</w:t>
      </w:r>
      <w:r>
        <w:rPr>
          <w:rFonts w:hint="eastAsia" w:ascii="宋体" w:hAnsi="宋体" w:eastAsia="宋体" w:cs="宋体"/>
          <w:b w:val="0"/>
          <w:bCs w:val="0"/>
          <w:color w:val="000000" w:themeColor="text1"/>
          <w:sz w:val="21"/>
          <w:szCs w:val="21"/>
          <w:vertAlign w:val="superscript"/>
          <w14:textFill>
            <w14:solidFill>
              <w14:schemeClr w14:val="tx1"/>
            </w14:solidFill>
          </w14:textFill>
        </w:rPr>
        <w:t>+</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2分</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cs="宋体"/>
          <w:b w:val="0"/>
          <w:bCs w:val="0"/>
          <w:color w:val="000000" w:themeColor="text1"/>
          <w:sz w:val="21"/>
          <w:szCs w:val="21"/>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3</w:t>
      </w:r>
      <w:r>
        <w:rPr>
          <w:rFonts w:hint="eastAsia" w:ascii="宋体" w:hAnsi="宋体" w:eastAsia="宋体" w:cs="宋体"/>
          <w:b w:val="0"/>
          <w:bCs w:val="0"/>
          <w:color w:val="000000" w:themeColor="text1"/>
          <w:sz w:val="21"/>
          <w:szCs w:val="21"/>
          <w:lang w:eastAsia="zh-CN"/>
          <w14:textFill>
            <w14:solidFill>
              <w14:schemeClr w14:val="tx1"/>
            </w14:solidFill>
          </w14:textFill>
        </w:rPr>
        <w:t>） 绿硫细菌分解H</w:t>
      </w:r>
      <w:r>
        <w:rPr>
          <w:rFonts w:hint="eastAsia" w:ascii="宋体" w:hAnsi="宋体" w:eastAsia="宋体" w:cs="宋体"/>
          <w:b w:val="0"/>
          <w:bCs w:val="0"/>
          <w:color w:val="000000" w:themeColor="text1"/>
          <w:sz w:val="21"/>
          <w:szCs w:val="21"/>
          <w:vertAlign w:val="subscript"/>
          <w:lang w:eastAsia="zh-CN"/>
          <w14:textFill>
            <w14:solidFill>
              <w14:schemeClr w14:val="tx1"/>
            </w14:solidFill>
          </w14:textFill>
        </w:rPr>
        <w:t>2</w:t>
      </w:r>
      <w:r>
        <w:rPr>
          <w:rFonts w:hint="eastAsia" w:ascii="宋体" w:hAnsi="宋体" w:eastAsia="宋体" w:cs="宋体"/>
          <w:b w:val="0"/>
          <w:bCs w:val="0"/>
          <w:color w:val="000000" w:themeColor="text1"/>
          <w:sz w:val="21"/>
          <w:szCs w:val="21"/>
          <w:lang w:eastAsia="zh-CN"/>
          <w14:textFill>
            <w14:solidFill>
              <w14:schemeClr w14:val="tx1"/>
            </w14:solidFill>
          </w14:textFill>
        </w:rPr>
        <w:t>S，而不是分解H</w:t>
      </w:r>
      <w:r>
        <w:rPr>
          <w:rFonts w:hint="eastAsia" w:ascii="宋体" w:hAnsi="宋体" w:eastAsia="宋体" w:cs="宋体"/>
          <w:b w:val="0"/>
          <w:bCs w:val="0"/>
          <w:color w:val="000000" w:themeColor="text1"/>
          <w:sz w:val="21"/>
          <w:szCs w:val="21"/>
          <w:vertAlign w:val="subscript"/>
          <w:lang w:eastAsia="zh-CN"/>
          <w14:textFill>
            <w14:solidFill>
              <w14:schemeClr w14:val="tx1"/>
            </w14:solidFill>
          </w14:textFill>
        </w:rPr>
        <w:t>2</w:t>
      </w:r>
      <w:r>
        <w:rPr>
          <w:rFonts w:hint="eastAsia" w:ascii="宋体" w:hAnsi="宋体" w:eastAsia="宋体" w:cs="宋体"/>
          <w:b w:val="0"/>
          <w:bCs w:val="0"/>
          <w:color w:val="000000" w:themeColor="text1"/>
          <w:sz w:val="21"/>
          <w:szCs w:val="21"/>
          <w:lang w:eastAsia="zh-CN"/>
          <w14:textFill>
            <w14:solidFill>
              <w14:schemeClr w14:val="tx1"/>
            </w14:solidFill>
          </w14:textFill>
        </w:rPr>
        <w:t>O     通过分解H</w:t>
      </w:r>
      <w:r>
        <w:rPr>
          <w:rFonts w:hint="eastAsia" w:ascii="宋体" w:hAnsi="宋体" w:eastAsia="宋体" w:cs="宋体"/>
          <w:b w:val="0"/>
          <w:bCs w:val="0"/>
          <w:color w:val="000000" w:themeColor="text1"/>
          <w:sz w:val="21"/>
          <w:szCs w:val="21"/>
          <w:vertAlign w:val="subscript"/>
          <w:lang w:eastAsia="zh-CN"/>
          <w14:textFill>
            <w14:solidFill>
              <w14:schemeClr w14:val="tx1"/>
            </w14:solidFill>
          </w14:textFill>
        </w:rPr>
        <w:t>2</w:t>
      </w:r>
      <w:r>
        <w:rPr>
          <w:rFonts w:hint="eastAsia" w:ascii="宋体" w:hAnsi="宋体" w:eastAsia="宋体" w:cs="宋体"/>
          <w:b w:val="0"/>
          <w:bCs w:val="0"/>
          <w:color w:val="000000" w:themeColor="text1"/>
          <w:sz w:val="21"/>
          <w:szCs w:val="21"/>
          <w:lang w:eastAsia="zh-CN"/>
          <w14:textFill>
            <w14:solidFill>
              <w14:schemeClr w14:val="tx1"/>
            </w14:solidFill>
          </w14:textFill>
        </w:rPr>
        <w:t>S获得电子而进行厌氧光合作用</w:t>
      </w:r>
      <w:r>
        <w:rPr>
          <w:rFonts w:hint="eastAsia" w:ascii="宋体" w:hAnsi="宋体" w:cs="宋体"/>
          <w:b w:val="0"/>
          <w:bCs w:val="0"/>
          <w:color w:val="000000" w:themeColor="text1"/>
          <w:sz w:val="21"/>
          <w:szCs w:val="21"/>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1"/>
          <w:szCs w:val="21"/>
          <w:lang w:val="en-US" w:eastAsia="zh-CN"/>
          <w14:textFill>
            <w14:solidFill>
              <w14:schemeClr w14:val="tx1"/>
            </w14:solidFill>
          </w14:textFill>
        </w:rPr>
        <w:t>（4）</w:t>
      </w:r>
      <w:r>
        <w:rPr>
          <w:rFonts w:hint="eastAsia" w:ascii="宋体" w:hAnsi="宋体" w:eastAsia="宋体" w:cs="宋体"/>
          <w:b w:val="0"/>
          <w:bCs w:val="0"/>
          <w:color w:val="000000" w:themeColor="text1"/>
          <w:sz w:val="21"/>
          <w:szCs w:val="21"/>
          <w14:textFill>
            <w14:solidFill>
              <w14:schemeClr w14:val="tx1"/>
            </w14:solidFill>
          </w14:textFill>
        </w:rPr>
        <w:t>能够在合成ATP的同时合成NADPH（或减少合成NADPH过程中的能量消耗）</w:t>
      </w:r>
      <w:r>
        <w:rPr>
          <w:rFonts w:hint="eastAsia" w:ascii="宋体" w:hAnsi="宋体" w:cs="宋体"/>
          <w:b w:val="0"/>
          <w:bCs w:val="0"/>
          <w:color w:val="000000" w:themeColor="text1"/>
          <w:sz w:val="21"/>
          <w:szCs w:val="21"/>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1"/>
          <w:szCs w:val="21"/>
          <w:lang w:val="en-US" w:eastAsia="zh-CN"/>
          <w14:textFill>
            <w14:solidFill>
              <w14:schemeClr w14:val="tx1"/>
            </w14:solidFill>
          </w14:textFill>
        </w:rPr>
        <w:t>（5）</w:t>
      </w:r>
      <w:r>
        <w:rPr>
          <w:rFonts w:hint="eastAsia" w:ascii="宋体" w:hAnsi="宋体" w:eastAsia="宋体" w:cs="宋体"/>
          <w:b w:val="0"/>
          <w:bCs w:val="0"/>
          <w:color w:val="000000" w:themeColor="text1"/>
          <w:sz w:val="21"/>
          <w:szCs w:val="21"/>
          <w14:textFill>
            <w14:solidFill>
              <w14:schemeClr w14:val="tx1"/>
            </w14:solidFill>
          </w14:textFill>
        </w:rPr>
        <w:t>①②④</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2分</w:t>
      </w:r>
      <w:r>
        <w:rPr>
          <w:rFonts w:hint="eastAsia" w:ascii="宋体" w:hAnsi="宋体" w:eastAsia="宋体" w:cs="宋体"/>
          <w:b w:val="0"/>
          <w:bCs w:val="0"/>
          <w:color w:val="000000" w:themeColor="text1"/>
          <w:sz w:val="21"/>
          <w:szCs w:val="21"/>
          <w:lang w:eastAsia="zh-CN"/>
          <w14:textFill>
            <w14:solidFill>
              <w14:schemeClr w14:val="tx1"/>
            </w14:solidFill>
          </w14:textFill>
        </w:rPr>
        <w:t>）</w:t>
      </w:r>
    </w:p>
    <w:p w14:paraId="4CC25B14">
      <w:pPr>
        <w:keepNext w:val="0"/>
        <w:keepLines w:val="0"/>
        <w:pageBreakBefore w:val="0"/>
        <w:widowControl w:val="0"/>
        <w:numPr>
          <w:ilvl w:val="0"/>
          <w:numId w:val="0"/>
        </w:numPr>
        <w:kinsoku/>
        <w:wordWrap/>
        <w:overflowPunct/>
        <w:topLinePunct w:val="0"/>
        <w:autoSpaceDE/>
        <w:autoSpaceDN/>
        <w:bidi w:val="0"/>
        <w:adjustRightInd/>
        <w:snapToGrid/>
        <w:spacing w:line="240" w:lineRule="auto"/>
        <w:rPr>
          <w:rFonts w:hint="eastAsia" w:ascii="宋体" w:hAnsi="宋体" w:eastAsia="宋体" w:cs="宋体"/>
          <w:b w:val="0"/>
          <w:bCs w:val="0"/>
          <w:color w:val="000000" w:themeColor="text1"/>
          <w:sz w:val="21"/>
          <w:szCs w:val="21"/>
          <w:lang w:eastAsia="zh-CN"/>
          <w14:textFill>
            <w14:solidFill>
              <w14:schemeClr w14:val="tx1"/>
            </w14:solidFill>
          </w14:textFill>
        </w:rPr>
      </w:pPr>
      <w:r>
        <w:rPr>
          <w:rFonts w:hint="eastAsia" w:ascii="宋体" w:hAnsi="宋体" w:cs="宋体"/>
          <w:b w:val="0"/>
          <w:bCs w:val="0"/>
          <w:strike w:val="0"/>
          <w:color w:val="000000" w:themeColor="text1"/>
          <w:kern w:val="0"/>
          <w:sz w:val="21"/>
          <w:szCs w:val="21"/>
          <w:u w:val="none"/>
          <w:lang w:val="en-US" w:eastAsia="zh-CN"/>
          <w14:textFill>
            <w14:solidFill>
              <w14:schemeClr w14:val="tx1"/>
            </w14:solidFill>
          </w14:textFill>
        </w:rPr>
        <w:t>21.</w:t>
      </w:r>
      <w:r>
        <w:rPr>
          <w:rFonts w:hint="eastAsia" w:ascii="宋体" w:hAnsi="宋体" w:eastAsia="宋体" w:cs="宋体"/>
          <w:b w:val="0"/>
          <w:bCs w:val="0"/>
          <w:strike w:val="0"/>
          <w:color w:val="000000" w:themeColor="text1"/>
          <w:kern w:val="0"/>
          <w:sz w:val="21"/>
          <w:szCs w:val="21"/>
          <w:u w:val="none"/>
          <w:lang w:val="en-US" w:eastAsia="zh-CN"/>
          <w14:textFill>
            <w14:solidFill>
              <w14:schemeClr w14:val="tx1"/>
            </w14:solidFill>
          </w14:textFill>
        </w:rPr>
        <w:t>（12分）</w:t>
      </w:r>
      <w:r>
        <w:rPr>
          <w:rFonts w:hint="eastAsia" w:ascii="宋体" w:hAnsi="宋体" w:cs="宋体"/>
          <w:b w:val="0"/>
          <w:bCs w:val="0"/>
          <w:strike w:val="0"/>
          <w:color w:val="000000" w:themeColor="text1"/>
          <w:kern w:val="0"/>
          <w:sz w:val="21"/>
          <w:szCs w:val="21"/>
          <w:u w:val="none"/>
          <w:lang w:val="en-US" w:eastAsia="zh-CN"/>
          <w14:textFill>
            <w14:solidFill>
              <w14:schemeClr w14:val="tx1"/>
            </w14:solidFill>
          </w14:textFill>
        </w:rPr>
        <w:t>（1）</w:t>
      </w:r>
      <w:r>
        <w:rPr>
          <w:rFonts w:hint="eastAsia" w:ascii="宋体" w:hAnsi="宋体" w:eastAsia="宋体" w:cs="宋体"/>
          <w:b w:val="0"/>
          <w:bCs w:val="0"/>
          <w:strike w:val="0"/>
          <w:color w:val="000000" w:themeColor="text1"/>
          <w:kern w:val="0"/>
          <w:sz w:val="21"/>
          <w:szCs w:val="21"/>
          <w:u w:val="none"/>
          <w:lang w:val="en-US" w:eastAsia="zh-CN"/>
          <w14:textFill>
            <w14:solidFill>
              <w14:schemeClr w14:val="tx1"/>
            </w14:solidFill>
          </w14:textFill>
        </w:rPr>
        <w:t xml:space="preserve">磷酸化   </w:t>
      </w:r>
      <w:r>
        <w:rPr>
          <w:rFonts w:hint="eastAsia" w:ascii="宋体" w:hAnsi="宋体" w:eastAsia="宋体" w:cs="宋体"/>
          <w:b w:val="0"/>
          <w:bCs w:val="0"/>
          <w:color w:val="000000" w:themeColor="text1"/>
          <w:sz w:val="21"/>
          <w:szCs w:val="21"/>
          <w14:textFill>
            <w14:solidFill>
              <w14:schemeClr w14:val="tx1"/>
            </w14:solidFill>
          </w14:textFill>
        </w:rPr>
        <w:t>葡萄糖的吸收和氧化分解</w:t>
      </w:r>
      <w:r>
        <w:rPr>
          <w:rFonts w:hint="eastAsia" w:ascii="宋体" w:hAnsi="宋体" w:cs="宋体"/>
          <w:b w:val="0"/>
          <w:bCs w:val="0"/>
          <w:color w:val="000000" w:themeColor="text1"/>
          <w:sz w:val="21"/>
          <w:szCs w:val="21"/>
          <w:lang w:val="en-US" w:eastAsia="zh-CN"/>
          <w14:textFill>
            <w14:solidFill>
              <w14:schemeClr w14:val="tx1"/>
            </w14:solidFill>
          </w14:textFill>
        </w:rPr>
        <w:t xml:space="preserve">  （2）</w:t>
      </w:r>
      <w:r>
        <w:rPr>
          <w:rFonts w:hint="eastAsia" w:ascii="宋体" w:hAnsi="宋体" w:eastAsia="宋体" w:cs="宋体"/>
          <w:b w:val="0"/>
          <w:bCs w:val="0"/>
          <w:color w:val="000000" w:themeColor="text1"/>
          <w:sz w:val="21"/>
          <w:szCs w:val="21"/>
          <w14:textFill>
            <w14:solidFill>
              <w14:schemeClr w14:val="tx1"/>
            </w14:solidFill>
          </w14:textFill>
        </w:rPr>
        <w:t>将细胞与外界环境隔开</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控制物质进出细胞</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进行细胞间的信息交流</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写全2分</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cs="宋体"/>
          <w:b w:val="0"/>
          <w:bCs w:val="0"/>
          <w:color w:val="000000" w:themeColor="text1"/>
          <w:sz w:val="21"/>
          <w:szCs w:val="21"/>
          <w:lang w:val="en-US" w:eastAsia="zh-CN"/>
          <w14:textFill>
            <w14:solidFill>
              <w14:schemeClr w14:val="tx1"/>
            </w14:solidFill>
          </w14:textFill>
        </w:rPr>
        <w:t xml:space="preserve"> （3）</w:t>
      </w:r>
      <w:r>
        <w:rPr>
          <w:rFonts w:hint="eastAsia" w:ascii="宋体" w:hAnsi="宋体" w:eastAsia="宋体" w:cs="宋体"/>
          <w:b w:val="0"/>
          <w:bCs w:val="0"/>
          <w:color w:val="000000" w:themeColor="text1"/>
          <w:sz w:val="21"/>
          <w:szCs w:val="21"/>
          <w14:textFill>
            <w14:solidFill>
              <w14:schemeClr w14:val="tx1"/>
            </w14:solidFill>
          </w14:textFill>
        </w:rPr>
        <w:t>IkB（IkB和NF-KB的复合物）</w:t>
      </w:r>
      <w:r>
        <w:rPr>
          <w:rFonts w:hint="eastAsia" w:ascii="宋体" w:hAnsi="宋体" w:cs="宋体"/>
          <w:b w:val="0"/>
          <w:bCs w:val="0"/>
          <w:color w:val="000000" w:themeColor="text1"/>
          <w:sz w:val="21"/>
          <w:szCs w:val="21"/>
          <w:lang w:val="en-US" w:eastAsia="zh-CN"/>
          <w14:textFill>
            <w14:solidFill>
              <w14:schemeClr w14:val="tx1"/>
            </w14:solidFill>
          </w14:textFill>
        </w:rPr>
        <w:t xml:space="preserve">  （4）</w:t>
      </w:r>
      <w:r>
        <w:rPr>
          <w:rFonts w:hint="eastAsia" w:ascii="宋体" w:hAnsi="宋体" w:eastAsia="宋体" w:cs="宋体"/>
          <w:b w:val="0"/>
          <w:bCs w:val="0"/>
          <w:color w:val="000000" w:themeColor="text1"/>
          <w:sz w:val="21"/>
          <w:szCs w:val="21"/>
          <w14:textFill>
            <w14:solidFill>
              <w14:schemeClr w14:val="tx1"/>
            </w14:solidFill>
          </w14:textFill>
        </w:rPr>
        <w:t>导致线粒体中自由基氧化和DNA损伤加剧、膜脂氧化剂MDA增多，使得神经细胞的结构和功能受到损伤从而诱发认知障碍</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2分</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cs="宋体"/>
          <w:b w:val="0"/>
          <w:bCs w:val="0"/>
          <w:color w:val="000000" w:themeColor="text1"/>
          <w:sz w:val="21"/>
          <w:szCs w:val="21"/>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1"/>
          <w:szCs w:val="21"/>
          <w14:textFill>
            <w14:solidFill>
              <w14:schemeClr w14:val="tx1"/>
            </w14:solidFill>
          </w14:textFill>
        </w:rPr>
        <w:t xml:space="preserve"> </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5</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①. 血糖含量和胰岛素含量</w:t>
      </w:r>
      <w:r>
        <w:rPr>
          <w:rFonts w:hint="eastAsia" w:ascii="宋体" w:hAnsi="宋体" w:cs="宋体"/>
          <w:b w:val="0"/>
          <w:bCs w:val="0"/>
          <w:color w:val="000000" w:themeColor="text1"/>
          <w:sz w:val="21"/>
          <w:szCs w:val="21"/>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1"/>
          <w:szCs w:val="21"/>
          <w14:textFill>
            <w14:solidFill>
              <w14:schemeClr w14:val="tx1"/>
            </w14:solidFill>
          </w14:textFill>
        </w:rPr>
        <w:t>②SED和HIIT</w:t>
      </w: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 </w:t>
      </w:r>
      <w:r>
        <w:rPr>
          <w:rFonts w:hint="eastAsia" w:ascii="宋体" w:hAnsi="宋体" w:cs="宋体"/>
          <w:b w:val="0"/>
          <w:bCs w:val="0"/>
          <w:color w:val="000000" w:themeColor="text1"/>
          <w:sz w:val="21"/>
          <w:szCs w:val="21"/>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1"/>
          <w:szCs w:val="21"/>
          <w14:textFill>
            <w14:solidFill>
              <w14:schemeClr w14:val="tx1"/>
            </w14:solidFill>
          </w14:textFill>
        </w:rPr>
        <w:t>③荧光RT-PCR（RT-PCR+电泳或PCR+电泳）</w:t>
      </w:r>
      <w:r>
        <w:rPr>
          <w:rFonts w:hint="eastAsia" w:ascii="宋体" w:hAnsi="宋体" w:cs="宋体"/>
          <w:b w:val="0"/>
          <w:bCs w:val="0"/>
          <w:color w:val="000000" w:themeColor="text1"/>
          <w:sz w:val="21"/>
          <w:szCs w:val="21"/>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1"/>
          <w:szCs w:val="21"/>
          <w14:textFill>
            <w14:solidFill>
              <w14:schemeClr w14:val="tx1"/>
            </w14:solidFill>
          </w14:textFill>
        </w:rPr>
        <w:t>④HIIT组的相关炎症因子mRNA和炎症因子含量显著低于SED组，高于（等于）NC组</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2分</w:t>
      </w:r>
      <w:r>
        <w:rPr>
          <w:rFonts w:hint="eastAsia" w:ascii="宋体" w:hAnsi="宋体" w:eastAsia="宋体" w:cs="宋体"/>
          <w:b w:val="0"/>
          <w:bCs w:val="0"/>
          <w:color w:val="000000" w:themeColor="text1"/>
          <w:sz w:val="21"/>
          <w:szCs w:val="21"/>
          <w:lang w:eastAsia="zh-CN"/>
          <w14:textFill>
            <w14:solidFill>
              <w14:schemeClr w14:val="tx1"/>
            </w14:solidFill>
          </w14:textFill>
        </w:rPr>
        <w:t>）</w:t>
      </w:r>
    </w:p>
    <w:p w14:paraId="5A857176">
      <w:pPr>
        <w:keepNext w:val="0"/>
        <w:keepLines w:val="0"/>
        <w:pageBreakBefore w:val="0"/>
        <w:widowControl w:val="0"/>
        <w:numPr>
          <w:ilvl w:val="0"/>
          <w:numId w:val="0"/>
        </w:numPr>
        <w:kinsoku/>
        <w:wordWrap/>
        <w:overflowPunct/>
        <w:topLinePunct w:val="0"/>
        <w:autoSpaceDE/>
        <w:autoSpaceDN/>
        <w:bidi w:val="0"/>
        <w:adjustRightInd/>
        <w:snapToGrid/>
        <w:spacing w:line="24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22.</w:t>
      </w:r>
      <w:r>
        <w:rPr>
          <w:rFonts w:hint="eastAsia" w:ascii="宋体" w:hAnsi="宋体" w:eastAsia="宋体" w:cs="宋体"/>
          <w:color w:val="000000" w:themeColor="text1"/>
          <w:sz w:val="21"/>
          <w:szCs w:val="21"/>
          <w:lang w:val="en-US" w:eastAsia="zh-CN"/>
          <w14:textFill>
            <w14:solidFill>
              <w14:schemeClr w14:val="tx1"/>
            </w14:solidFill>
          </w14:textFill>
        </w:rPr>
        <w:t>（12分）</w:t>
      </w:r>
      <w:r>
        <w:rPr>
          <w:rFonts w:hint="eastAsia" w:ascii="宋体" w:hAnsi="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体表吸收或叶片吸收等     与其他生物相比，人类处于更高位的营养级</w:t>
      </w:r>
      <w:r>
        <w:rPr>
          <w:rFonts w:hint="eastAsia" w:ascii="宋体" w:hAnsi="宋体" w:cs="宋体"/>
          <w:color w:val="000000" w:themeColor="text1"/>
          <w:sz w:val="21"/>
          <w:szCs w:val="21"/>
          <w:lang w:val="en-US" w:eastAsia="zh-CN"/>
          <w14:textFill>
            <w14:solidFill>
              <w14:schemeClr w14:val="tx1"/>
            </w14:solidFill>
          </w14:textFill>
        </w:rPr>
        <w:t xml:space="preserve"> （2）</w:t>
      </w:r>
      <w:r>
        <w:rPr>
          <w:rFonts w:hint="eastAsia" w:ascii="宋体" w:hAnsi="宋体" w:eastAsia="宋体" w:cs="宋体"/>
          <w:color w:val="000000" w:themeColor="text1"/>
          <w:sz w:val="21"/>
          <w:szCs w:val="21"/>
          <w:lang w:val="en-US" w:eastAsia="zh-CN"/>
          <w14:textFill>
            <w14:solidFill>
              <w14:schemeClr w14:val="tx1"/>
            </w14:solidFill>
          </w14:textFill>
        </w:rPr>
        <w:t xml:space="preserve">①放线菌    次生     </w:t>
      </w:r>
      <w:r>
        <w:rPr>
          <w:rFonts w:hint="eastAsia" w:ascii="宋体" w:hAnsi="宋体" w:eastAsia="宋体" w:cs="宋体"/>
          <w:color w:val="000000" w:themeColor="text1"/>
          <w:sz w:val="21"/>
          <w:szCs w:val="21"/>
          <w14:textFill>
            <w14:solidFill>
              <w14:schemeClr w14:val="tx1"/>
            </w14:solidFill>
          </w14:textFill>
        </w:rPr>
        <w:t>该微生物类群可降解微塑料成为其碳源</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lang w:val="en-US" w:eastAsia="zh-CN"/>
          <w14:textFill>
            <w14:solidFill>
              <w14:schemeClr w14:val="tx1"/>
            </w14:solidFill>
          </w14:textFill>
        </w:rPr>
        <w:t>②acf</w:t>
      </w:r>
      <w:r>
        <w:rPr>
          <w:rFonts w:hint="eastAsia" w:ascii="宋体" w:hAnsi="宋体" w:cs="宋体"/>
          <w:color w:val="000000" w:themeColor="text1"/>
          <w:sz w:val="21"/>
          <w:szCs w:val="21"/>
          <w:lang w:val="en-US" w:eastAsia="zh-CN"/>
          <w14:textFill>
            <w14:solidFill>
              <w14:schemeClr w14:val="tx1"/>
            </w14:solidFill>
          </w14:textFill>
        </w:rPr>
        <w:t xml:space="preserve">  （3）</w:t>
      </w:r>
      <w:r>
        <w:rPr>
          <w:rFonts w:hint="eastAsia" w:ascii="宋体" w:hAnsi="宋体" w:eastAsia="宋体" w:cs="宋体"/>
          <w:color w:val="000000" w:themeColor="text1"/>
          <w:sz w:val="21"/>
          <w:szCs w:val="21"/>
          <w14:textFill>
            <w14:solidFill>
              <w14:schemeClr w14:val="tx1"/>
            </w14:solidFill>
          </w14:textFill>
        </w:rPr>
        <w:t xml:space="preserve">非生物环境（无机环境）     微塑料 </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塑料圈中塑料所含的有机物是有限的  </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自我调节</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lang w:val="en-US" w:eastAsia="zh-CN"/>
          <w14:textFill>
            <w14:solidFill>
              <w14:schemeClr w14:val="tx1"/>
            </w14:solidFill>
          </w14:textFill>
        </w:rPr>
        <w:t>（4） 自然状态下的土壤     微塑料覆盖过的土壤</w:t>
      </w:r>
    </w:p>
    <w:p w14:paraId="4BDE087E">
      <w:pPr>
        <w:numPr>
          <w:ilvl w:val="0"/>
          <w:numId w:val="0"/>
        </w:numPr>
        <w:ind w:leftChars="0"/>
        <w:jc w:val="both"/>
        <w:rPr>
          <w:rFonts w:hint="eastAsia" w:ascii="宋体" w:hAnsi="宋体" w:eastAsia="宋体" w:cs="宋体"/>
          <w:b w:val="0"/>
          <w:bCs w:val="0"/>
          <w:color w:val="000000" w:themeColor="text1"/>
          <w:sz w:val="21"/>
          <w:szCs w:val="21"/>
          <w:lang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2</w:t>
      </w:r>
      <w:r>
        <w:rPr>
          <w:rFonts w:hint="eastAsia" w:ascii="宋体" w:hAnsi="宋体" w:cs="宋体"/>
          <w:b w:val="0"/>
          <w:bCs w:val="0"/>
          <w:color w:val="000000" w:themeColor="text1"/>
          <w:sz w:val="21"/>
          <w:szCs w:val="21"/>
          <w:lang w:val="en-US" w:eastAsia="zh-CN"/>
          <w14:textFill>
            <w14:solidFill>
              <w14:schemeClr w14:val="tx1"/>
            </w14:solidFill>
          </w14:textFill>
        </w:rPr>
        <w:t>3</w:t>
      </w:r>
      <w:r>
        <w:rPr>
          <w:rFonts w:hint="eastAsia" w:ascii="宋体" w:hAnsi="宋体" w:eastAsia="宋体" w:cs="宋体"/>
          <w:b w:val="0"/>
          <w:bCs w:val="0"/>
          <w:color w:val="000000" w:themeColor="text1"/>
          <w:sz w:val="21"/>
          <w:szCs w:val="21"/>
          <w:lang w:val="en-US" w:eastAsia="zh-CN"/>
          <w14:textFill>
            <w14:solidFill>
              <w14:schemeClr w14:val="tx1"/>
            </w14:solidFill>
          </w14:textFill>
        </w:rPr>
        <w:t>.（12分）</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1</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 xml:space="preserve"> 可以     两对等位基因位于两对同源染色体上，测交可以得到1∶1∶1∶1的表现型比例，若两对等位基因之间相互作用，可以得到3∶1的表现型比例</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2分</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cs="宋体"/>
          <w:b w:val="0"/>
          <w:bCs w:val="0"/>
          <w:color w:val="000000" w:themeColor="text1"/>
          <w:sz w:val="21"/>
          <w:szCs w:val="21"/>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2</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9/64</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2分</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     （3）</w:t>
      </w:r>
      <w:r>
        <w:rPr>
          <w:rFonts w:hint="eastAsia" w:ascii="宋体" w:hAnsi="宋体" w:eastAsia="宋体" w:cs="宋体"/>
          <w:b w:val="0"/>
          <w:bCs w:val="0"/>
          <w:color w:val="000000" w:themeColor="text1"/>
          <w:sz w:val="21"/>
          <w:szCs w:val="21"/>
          <w14:textFill>
            <w14:solidFill>
              <w14:schemeClr w14:val="tx1"/>
            </w14:solidFill>
          </w14:textFill>
        </w:rPr>
        <w:t>13</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2分</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cs="宋体"/>
          <w:b w:val="0"/>
          <w:bCs w:val="0"/>
          <w:color w:val="000000" w:themeColor="text1"/>
          <w:sz w:val="21"/>
          <w:szCs w:val="21"/>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4</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①</w:t>
      </w:r>
      <w:r>
        <w:rPr>
          <w:rFonts w:hint="eastAsia" w:ascii="宋体" w:hAnsi="宋体" w:eastAsia="宋体" w:cs="宋体"/>
          <w:b w:val="0"/>
          <w:bCs w:val="0"/>
          <w:color w:val="000000" w:themeColor="text1"/>
          <w:sz w:val="21"/>
          <w:szCs w:val="21"/>
          <w14:textFill>
            <w14:solidFill>
              <w14:schemeClr w14:val="tx1"/>
            </w14:solidFill>
          </w14:textFill>
        </w:rPr>
        <w:t>父本     AA∶Aa∶aa=1∶2∶1</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2分</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 xml:space="preserve">     ②Aa     全部表现为侏儒</w:t>
      </w:r>
    </w:p>
    <w:p w14:paraId="18CA050B">
      <w:pPr>
        <w:jc w:val="left"/>
        <w:textAlignment w:val="center"/>
        <w:rPr>
          <w:rFonts w:ascii="黑体" w:hAnsi="黑体" w:eastAsia="黑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2</w:t>
      </w:r>
      <w:r>
        <w:rPr>
          <w:rFonts w:hint="eastAsia" w:ascii="宋体" w:hAnsi="宋体" w:cs="宋体"/>
          <w:b w:val="0"/>
          <w:bCs w:val="0"/>
          <w:color w:val="000000" w:themeColor="text1"/>
          <w:sz w:val="21"/>
          <w:szCs w:val="21"/>
          <w:lang w:val="en-US" w:eastAsia="zh-CN"/>
          <w14:textFill>
            <w14:solidFill>
              <w14:schemeClr w14:val="tx1"/>
            </w14:solidFill>
          </w14:textFill>
        </w:rPr>
        <w:t>4</w:t>
      </w:r>
      <w:r>
        <w:rPr>
          <w:rFonts w:hint="eastAsia" w:ascii="宋体" w:hAnsi="宋体" w:eastAsia="宋体" w:cs="宋体"/>
          <w:b w:val="0"/>
          <w:bCs w:val="0"/>
          <w:color w:val="000000" w:themeColor="text1"/>
          <w:sz w:val="21"/>
          <w:szCs w:val="21"/>
          <w:lang w:val="en-US" w:eastAsia="zh-CN"/>
          <w14:textFill>
            <w14:solidFill>
              <w14:schemeClr w14:val="tx1"/>
            </w14:solidFill>
          </w14:textFill>
        </w:rPr>
        <w:t>.（12分）</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1</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 xml:space="preserve"> G、C含量   </w:t>
      </w: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1"/>
          <w:szCs w:val="21"/>
          <w14:textFill>
            <w14:solidFill>
              <w14:schemeClr w14:val="tx1"/>
            </w14:solidFill>
          </w14:textFill>
        </w:rPr>
        <w:t xml:space="preserve">非特异性扩增片段增多  （2） LacZ  （3） 四环素和X-gal </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2分</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 xml:space="preserve">  </w:t>
      </w: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1"/>
          <w:szCs w:val="21"/>
          <w14:textFill>
            <w14:solidFill>
              <w14:schemeClr w14:val="tx1"/>
            </w14:solidFill>
          </w14:textFill>
        </w:rPr>
        <w:t>蔗糖和X-gal （4）</w:t>
      </w: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1"/>
          <w:szCs w:val="21"/>
          <w14:textFill>
            <w14:solidFill>
              <w14:schemeClr w14:val="tx1"/>
            </w14:solidFill>
          </w14:textFill>
        </w:rPr>
        <w:t xml:space="preserve">BEZ的浓度、VLB的浓度及不同浓度的组合    单独使用BEZ和VLB  </w:t>
      </w:r>
      <w:r>
        <w:rPr>
          <w:rFonts w:hint="eastAsia" w:ascii="宋体" w:hAnsi="宋体" w:cs="宋体"/>
          <w:b w:val="0"/>
          <w:bCs w:val="0"/>
          <w:color w:val="000000" w:themeColor="text1"/>
          <w:sz w:val="21"/>
          <w:szCs w:val="21"/>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1"/>
          <w:szCs w:val="21"/>
          <w14:textFill>
            <w14:solidFill>
              <w14:schemeClr w14:val="tx1"/>
            </w14:solidFill>
          </w14:textFill>
        </w:rPr>
        <w:t>（5）</w:t>
      </w: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1"/>
          <w:szCs w:val="21"/>
          <w14:textFill>
            <w14:solidFill>
              <w14:schemeClr w14:val="tx1"/>
            </w14:solidFill>
          </w14:textFill>
        </w:rPr>
        <w:t>GAPDH基因在各组细胞中表达量基本相同，排除实验操作和检测方法的干扰</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2分</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cs="宋体"/>
          <w:b w:val="0"/>
          <w:bCs w:val="0"/>
          <w:color w:val="000000" w:themeColor="text1"/>
          <w:sz w:val="21"/>
          <w:szCs w:val="21"/>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1"/>
          <w:szCs w:val="21"/>
          <w14:textFill>
            <w14:solidFill>
              <w14:schemeClr w14:val="tx1"/>
            </w14:solidFill>
          </w14:textFill>
        </w:rPr>
        <w:t>（6）（—）  （—）</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2分</w:t>
      </w:r>
      <w:r>
        <w:rPr>
          <w:rFonts w:hint="eastAsia" w:ascii="宋体" w:hAnsi="宋体" w:eastAsia="宋体" w:cs="宋体"/>
          <w:b w:val="0"/>
          <w:bCs w:val="0"/>
          <w:color w:val="000000" w:themeColor="text1"/>
          <w:sz w:val="21"/>
          <w:szCs w:val="21"/>
          <w:lang w:eastAsia="zh-CN"/>
          <w14:textFill>
            <w14:solidFill>
              <w14:schemeClr w14:val="tx1"/>
            </w14:solidFill>
          </w14:textFill>
        </w:rPr>
        <w:t>）</w:t>
      </w:r>
    </w:p>
    <w:p w14:paraId="4BE500C7">
      <w:pPr>
        <w:spacing w:line="240" w:lineRule="auto"/>
        <w:jc w:val="left"/>
        <w:textAlignment w:val="center"/>
        <w:rPr>
          <w:rFonts w:ascii="宋体" w:hAnsi="宋体" w:eastAsia="宋体" w:cs="宋体"/>
          <w:b w:val="0"/>
          <w:bCs w:val="0"/>
          <w:color w:val="000000" w:themeColor="text1"/>
          <w:sz w:val="21"/>
          <w:szCs w:val="21"/>
          <w14:textFill>
            <w14:solidFill>
              <w14:schemeClr w14:val="tx1"/>
            </w14:solidFill>
          </w14:textFill>
        </w:rPr>
      </w:pPr>
    </w:p>
    <w:sectPr>
      <w:headerReference r:id="rId5" w:type="first"/>
      <w:footerReference r:id="rId8" w:type="first"/>
      <w:headerReference r:id="rId3" w:type="default"/>
      <w:footerReference r:id="rId6" w:type="default"/>
      <w:headerReference r:id="rId4" w:type="even"/>
      <w:footerReference r:id="rId7" w:type="even"/>
      <w:pgSz w:w="10431" w:h="14740"/>
      <w:pgMar w:top="1020" w:right="1020" w:bottom="907" w:left="102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C3800">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0D443C34">
    <w:pPr>
      <w:pStyle w:val="2"/>
    </w:pPr>
  </w:p>
  <w:p w14:paraId="3E5FE921">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8B410">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B1B72">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3360D">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1636B">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FFC30">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C03B49"/>
    <w:multiLevelType w:val="singleLevel"/>
    <w:tmpl w:val="3EC03B49"/>
    <w:lvl w:ilvl="0" w:tentative="0">
      <w:start w:val="1"/>
      <w:numFmt w:val="decimal"/>
      <w:suff w:val="nothing"/>
      <w:lvlText w:val="（%1）"/>
      <w:lvlJc w:val="left"/>
    </w:lvl>
  </w:abstractNum>
  <w:abstractNum w:abstractNumId="1">
    <w:nsid w:val="675CAF03"/>
    <w:multiLevelType w:val="singleLevel"/>
    <w:tmpl w:val="675CAF03"/>
    <w:lvl w:ilvl="0" w:tentative="0">
      <w:start w:val="15"/>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Q1MzU4MjliZDMzMDQyZDQ4YjgxZTNhNTk4NDJkYjE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1750E9D"/>
    <w:rsid w:val="028952D4"/>
    <w:rsid w:val="04695801"/>
    <w:rsid w:val="058137BE"/>
    <w:rsid w:val="0BCB7119"/>
    <w:rsid w:val="0C6061DD"/>
    <w:rsid w:val="11B03E1B"/>
    <w:rsid w:val="18DB1B95"/>
    <w:rsid w:val="19685329"/>
    <w:rsid w:val="1D200FCB"/>
    <w:rsid w:val="231E7EF6"/>
    <w:rsid w:val="241206FD"/>
    <w:rsid w:val="29664444"/>
    <w:rsid w:val="38274566"/>
    <w:rsid w:val="41BD0A92"/>
    <w:rsid w:val="42502F3A"/>
    <w:rsid w:val="437D1DC4"/>
    <w:rsid w:val="44105025"/>
    <w:rsid w:val="4CBF5125"/>
    <w:rsid w:val="5254361F"/>
    <w:rsid w:val="536E409E"/>
    <w:rsid w:val="58D673D1"/>
    <w:rsid w:val="5E58112D"/>
    <w:rsid w:val="5E9C5745"/>
    <w:rsid w:val="65895454"/>
    <w:rsid w:val="68F951B1"/>
    <w:rsid w:val="71FF043F"/>
    <w:rsid w:val="77DC6BAC"/>
    <w:rsid w:val="7A0438CB"/>
    <w:rsid w:val="7D104304"/>
    <w:rsid w:val="7DF710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autoRedefine/>
    <w:semiHidden/>
    <w:unhideWhenUsed/>
    <w:qFormat/>
    <w:uiPriority w:val="1"/>
  </w:style>
  <w:style w:type="table" w:default="1" w:styleId="4">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link w:val="8"/>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5">
    <w:name w:val="Table Grid"/>
    <w:basedOn w:val="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basedOn w:val="6"/>
    <w:autoRedefine/>
    <w:unhideWhenUsed/>
    <w:qFormat/>
    <w:uiPriority w:val="99"/>
    <w:rPr>
      <w:color w:val="0000FF"/>
      <w:u w:val="single"/>
    </w:rPr>
  </w:style>
  <w:style w:type="character" w:customStyle="1" w:styleId="8">
    <w:name w:val="页眉 字符"/>
    <w:basedOn w:val="6"/>
    <w:link w:val="3"/>
    <w:autoRedefine/>
    <w:qFormat/>
    <w:uiPriority w:val="99"/>
    <w:rPr>
      <w:kern w:val="2"/>
      <w:sz w:val="18"/>
      <w:szCs w:val="24"/>
    </w:rPr>
  </w:style>
  <w:style w:type="paragraph" w:styleId="9">
    <w:name w:val="No Spacing"/>
    <w:autoRedefine/>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wmf"/><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wmf"/><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25252525252525252525252525252525252525257B75232B38-A165-1FB7-499C-2E1C792CACB5%252525252525252525252525252525252525252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25252525252525252525252525252525252525257B75232B38-A165-1FB7-499C-2E1C792CACB5%252525252525252525252525252525252525252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11</Pages>
  <Words>0</Words>
  <Characters>0</Characters>
  <Lines>0</Lines>
  <Paragraphs>0</Paragraphs>
  <TotalTime>23</TotalTime>
  <ScaleCrop>false</ScaleCrop>
  <LinksUpToDate>false</LinksUpToDate>
  <CharactersWithSpaces>0</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2024-03-24T11:04:00Z</dcterms:created>
  <dc:creator>学科网试题生产平台</dc:creator>
  <dc:description>3459709591314432</dc:description>
  <cp:lastModifiedBy>Jason mi</cp:lastModifiedBy>
  <dcterms:modified xsi:type="dcterms:W3CDTF">2024-07-15T04:15:02Z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2052-12.1.0.17147</vt:lpwstr>
  </property>
  <property fmtid="{D5CDD505-2E9C-101B-9397-08002B2CF9AE}" pid="7" name="ICV">
    <vt:lpwstr>C98E24674C3E4071AC43857127D399E2_12</vt:lpwstr>
  </property>
</Properties>
</file>