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8FF9EA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盐城市第一中学</w:t>
      </w:r>
    </w:p>
    <w:p w14:paraId="1C06D48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“学思融通”视域下高中“生长型”课堂</w:t>
      </w:r>
    </w:p>
    <w:p w14:paraId="09074665">
      <w:pPr>
        <w:jc w:val="center"/>
        <w:rPr>
          <w:rFonts w:hint="eastAsia"/>
          <w:b/>
          <w:sz w:val="28"/>
          <w:szCs w:val="28"/>
        </w:rPr>
      </w:pPr>
    </w:p>
    <w:p w14:paraId="1F827088">
      <w:pPr>
        <w:jc w:val="center"/>
        <w:rPr>
          <w:rFonts w:hint="eastAsia"/>
          <w:b/>
          <w:sz w:val="28"/>
          <w:szCs w:val="28"/>
        </w:rPr>
      </w:pPr>
    </w:p>
    <w:p w14:paraId="577931A7">
      <w:pPr>
        <w:jc w:val="center"/>
        <w:rPr>
          <w:rFonts w:hint="eastAsia"/>
          <w:b/>
          <w:sz w:val="28"/>
          <w:szCs w:val="28"/>
        </w:rPr>
      </w:pPr>
    </w:p>
    <w:p w14:paraId="0490A184">
      <w:pPr>
        <w:jc w:val="center"/>
        <w:rPr>
          <w:rFonts w:hint="eastAsia"/>
          <w:b/>
          <w:sz w:val="28"/>
          <w:szCs w:val="28"/>
        </w:rPr>
      </w:pPr>
    </w:p>
    <w:p w14:paraId="7F9B6F02"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理念、范式、导学案及评价</w:t>
      </w:r>
    </w:p>
    <w:p w14:paraId="696B26BE">
      <w:pPr>
        <w:jc w:val="center"/>
        <w:rPr>
          <w:rFonts w:hint="eastAsia"/>
          <w:b/>
          <w:sz w:val="28"/>
          <w:szCs w:val="28"/>
        </w:rPr>
      </w:pPr>
    </w:p>
    <w:p w14:paraId="720DABF8">
      <w:pPr>
        <w:jc w:val="center"/>
        <w:rPr>
          <w:rFonts w:hint="eastAsia"/>
          <w:b/>
          <w:sz w:val="28"/>
          <w:szCs w:val="28"/>
        </w:rPr>
      </w:pPr>
    </w:p>
    <w:p w14:paraId="2EB0B568">
      <w:pPr>
        <w:jc w:val="center"/>
        <w:rPr>
          <w:rFonts w:hint="eastAsia"/>
          <w:b/>
          <w:sz w:val="28"/>
          <w:szCs w:val="28"/>
        </w:rPr>
      </w:pPr>
    </w:p>
    <w:p w14:paraId="290FF64D">
      <w:pPr>
        <w:jc w:val="center"/>
        <w:rPr>
          <w:rFonts w:hint="eastAsia"/>
          <w:b/>
          <w:sz w:val="28"/>
          <w:szCs w:val="28"/>
        </w:rPr>
      </w:pPr>
    </w:p>
    <w:p w14:paraId="5CBBFB63">
      <w:pPr>
        <w:jc w:val="center"/>
        <w:rPr>
          <w:rFonts w:hint="eastAsia"/>
          <w:b/>
          <w:sz w:val="28"/>
          <w:szCs w:val="28"/>
        </w:rPr>
      </w:pPr>
    </w:p>
    <w:p w14:paraId="38F8DB05">
      <w:pPr>
        <w:jc w:val="center"/>
        <w:rPr>
          <w:rFonts w:hint="eastAsia"/>
          <w:b/>
          <w:sz w:val="28"/>
          <w:szCs w:val="28"/>
        </w:rPr>
      </w:pPr>
    </w:p>
    <w:p w14:paraId="28DD0D5A">
      <w:pPr>
        <w:jc w:val="center"/>
        <w:rPr>
          <w:rFonts w:hint="eastAsia"/>
          <w:b/>
          <w:sz w:val="28"/>
          <w:szCs w:val="28"/>
        </w:rPr>
      </w:pPr>
    </w:p>
    <w:p w14:paraId="2CF3CDD9">
      <w:pPr>
        <w:jc w:val="center"/>
        <w:rPr>
          <w:rFonts w:hint="eastAsia"/>
          <w:b/>
          <w:sz w:val="28"/>
          <w:szCs w:val="28"/>
        </w:rPr>
      </w:pPr>
    </w:p>
    <w:p w14:paraId="528F0CB4">
      <w:pPr>
        <w:jc w:val="center"/>
        <w:rPr>
          <w:rFonts w:hint="eastAsia"/>
          <w:b/>
          <w:sz w:val="28"/>
          <w:szCs w:val="28"/>
        </w:rPr>
      </w:pPr>
    </w:p>
    <w:p w14:paraId="41892F61">
      <w:pPr>
        <w:jc w:val="center"/>
        <w:rPr>
          <w:rFonts w:hint="eastAsia"/>
          <w:b/>
          <w:sz w:val="28"/>
          <w:szCs w:val="28"/>
        </w:rPr>
      </w:pPr>
    </w:p>
    <w:p w14:paraId="1715750C">
      <w:pPr>
        <w:jc w:val="center"/>
        <w:rPr>
          <w:rFonts w:hint="eastAsia"/>
          <w:b/>
          <w:sz w:val="28"/>
          <w:szCs w:val="28"/>
        </w:rPr>
      </w:pPr>
    </w:p>
    <w:p w14:paraId="56C4EF1D">
      <w:pPr>
        <w:jc w:val="center"/>
        <w:rPr>
          <w:rFonts w:hint="eastAsia"/>
          <w:b/>
          <w:sz w:val="28"/>
          <w:szCs w:val="28"/>
        </w:rPr>
      </w:pPr>
    </w:p>
    <w:p w14:paraId="0A467D41">
      <w:pPr>
        <w:jc w:val="center"/>
        <w:rPr>
          <w:rFonts w:hint="eastAsia"/>
          <w:b/>
          <w:sz w:val="28"/>
          <w:szCs w:val="28"/>
        </w:rPr>
      </w:pPr>
    </w:p>
    <w:p w14:paraId="05FA5BFE">
      <w:pPr>
        <w:jc w:val="center"/>
        <w:rPr>
          <w:rFonts w:hint="eastAsia"/>
          <w:b/>
          <w:sz w:val="28"/>
          <w:szCs w:val="28"/>
        </w:rPr>
      </w:pPr>
    </w:p>
    <w:p w14:paraId="20630628">
      <w:pPr>
        <w:rPr>
          <w:rFonts w:hint="eastAsia"/>
          <w:b/>
          <w:sz w:val="28"/>
          <w:szCs w:val="28"/>
        </w:rPr>
      </w:pPr>
    </w:p>
    <w:p w14:paraId="7C4403AB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盐城市第一中学</w:t>
      </w:r>
    </w:p>
    <w:p w14:paraId="1E9BBAB7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“学思融通”视域下高中“生长型”课堂建构</w:t>
      </w:r>
    </w:p>
    <w:p w14:paraId="67E4F2A6">
      <w:pPr>
        <w:jc w:val="center"/>
        <w:rPr>
          <w:b/>
          <w:sz w:val="24"/>
        </w:rPr>
      </w:pPr>
    </w:p>
    <w:p w14:paraId="7948E21F">
      <w:pPr>
        <w:jc w:val="center"/>
        <w:rPr>
          <w:b/>
          <w:sz w:val="24"/>
        </w:rPr>
      </w:pPr>
    </w:p>
    <w:p w14:paraId="33AA9DFB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生长型理念</w:t>
      </w:r>
      <w:bookmarkStart w:id="0" w:name="_GoBack"/>
      <w:bookmarkEnd w:id="0"/>
    </w:p>
    <w:p w14:paraId="13D7C889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知识增长，学生生长，老师成长。</w:t>
      </w:r>
    </w:p>
    <w:p w14:paraId="012A8252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不是到此为止，而是由此开始！</w:t>
      </w:r>
    </w:p>
    <w:p w14:paraId="29A1591E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不断超越，追求卓越！</w:t>
      </w:r>
    </w:p>
    <w:p w14:paraId="4FA94550">
      <w:pPr>
        <w:jc w:val="center"/>
        <w:rPr>
          <w:b/>
          <w:sz w:val="32"/>
          <w:szCs w:val="32"/>
        </w:rPr>
      </w:pPr>
    </w:p>
    <w:p w14:paraId="1A6B8C97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32"/>
          <w:szCs w:val="32"/>
        </w:rPr>
        <w:t>“三问四环节”课堂范式</w:t>
      </w:r>
    </w:p>
    <w:p w14:paraId="788E594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  问：</w:t>
      </w:r>
    </w:p>
    <w:p w14:paraId="365EEBD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提出问题——解决问题——生成问题</w:t>
      </w:r>
    </w:p>
    <w:p w14:paraId="480A157C">
      <w:pPr>
        <w:ind w:firstLine="480" w:firstLineChars="200"/>
        <w:rPr>
          <w:sz w:val="24"/>
        </w:rPr>
      </w:pPr>
      <w:r>
        <w:rPr>
          <w:rFonts w:hint="eastAsia"/>
          <w:sz w:val="24"/>
        </w:rPr>
        <w:t>在每位老师的角度看，首先，通过备课、上课、辅导等一系列教学过程，自己存在哪些问题？解决的措施是什么？解决得如何？生成了哪些新的问题？其次，班级的每位同学存在哪些问题，解决的措施是什么？解决得如何？生成了哪些新的问题？第三，全班存在哪些问题？解决的措施是什么？解决得如何？生成了哪些新的问题？</w:t>
      </w:r>
    </w:p>
    <w:p w14:paraId="01A2EA3C">
      <w:pPr>
        <w:ind w:firstLine="480" w:firstLineChars="200"/>
        <w:rPr>
          <w:b/>
          <w:sz w:val="28"/>
          <w:szCs w:val="28"/>
        </w:rPr>
      </w:pPr>
      <w:r>
        <w:rPr>
          <w:rFonts w:hint="eastAsia"/>
          <w:sz w:val="24"/>
        </w:rPr>
        <w:t>在每位学生的角度看，每节课我存在哪些问题？如何解决？通过课堂学习，解决得如何？生成了哪些新的问题？</w:t>
      </w:r>
    </w:p>
    <w:p w14:paraId="3A6B7024">
      <w:pPr>
        <w:rPr>
          <w:b/>
          <w:sz w:val="28"/>
          <w:szCs w:val="28"/>
        </w:rPr>
      </w:pPr>
    </w:p>
    <w:p w14:paraId="39A0204D">
      <w:pPr>
        <w:rPr>
          <w:b/>
          <w:sz w:val="28"/>
          <w:szCs w:val="28"/>
        </w:rPr>
      </w:pPr>
    </w:p>
    <w:p w14:paraId="3684C85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新授课四环节：</w:t>
      </w:r>
    </w:p>
    <w:p w14:paraId="5001760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一、带着问题自主研习</w:t>
      </w:r>
    </w:p>
    <w:p w14:paraId="47326116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二、针对问题交流讨论</w:t>
      </w:r>
    </w:p>
    <w:p w14:paraId="46200D23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三、变式问题迁移创新</w:t>
      </w:r>
    </w:p>
    <w:p w14:paraId="269A757A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四、回顾反思生成问题</w:t>
      </w:r>
    </w:p>
    <w:p w14:paraId="6424B56F">
      <w:pPr>
        <w:rPr>
          <w:b/>
          <w:sz w:val="32"/>
          <w:szCs w:val="32"/>
        </w:rPr>
      </w:pPr>
    </w:p>
    <w:p w14:paraId="69367AE6">
      <w:pPr>
        <w:rPr>
          <w:b/>
          <w:sz w:val="28"/>
          <w:szCs w:val="28"/>
        </w:rPr>
      </w:pPr>
      <w:r>
        <w:rPr>
          <w:rFonts w:hint="eastAsia"/>
          <w:b/>
          <w:sz w:val="32"/>
          <w:szCs w:val="32"/>
        </w:rPr>
        <w:t>各环节具体任务设计</w:t>
      </w:r>
    </w:p>
    <w:p w14:paraId="0432EDB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一、带着问题自主研习</w:t>
      </w:r>
    </w:p>
    <w:p w14:paraId="1743BCD5">
      <w:pPr>
        <w:ind w:firstLine="480" w:firstLineChars="200"/>
        <w:rPr>
          <w:sz w:val="24"/>
        </w:rPr>
      </w:pPr>
      <w:r>
        <w:rPr>
          <w:rFonts w:hint="eastAsia"/>
          <w:sz w:val="24"/>
        </w:rPr>
        <w:t>学生：充分自学、完成导学提纲中的问题（合作前的独立知识建构），提出自己的疑问。</w:t>
      </w:r>
    </w:p>
    <w:p w14:paraId="1B1C2434">
      <w:pPr>
        <w:ind w:firstLine="480" w:firstLineChars="200"/>
        <w:rPr>
          <w:sz w:val="24"/>
        </w:rPr>
      </w:pPr>
      <w:r>
        <w:rPr>
          <w:rFonts w:hint="eastAsia"/>
          <w:sz w:val="24"/>
        </w:rPr>
        <w:t>小组：督促组内成员独自完成自学内容，组内解决导学提纲中的问题。</w:t>
      </w:r>
    </w:p>
    <w:p w14:paraId="1A221080">
      <w:pPr>
        <w:ind w:firstLine="480" w:firstLineChars="200"/>
        <w:rPr>
          <w:sz w:val="24"/>
        </w:rPr>
      </w:pPr>
      <w:r>
        <w:rPr>
          <w:rFonts w:hint="eastAsia"/>
          <w:sz w:val="24"/>
        </w:rPr>
        <w:t>教师：设计、编制导学提纲，对个别小组、学生的自学进行指导，解答、收集学生自学中的问题、把握自学的时间、有重点解答导学提纲中的问题。</w:t>
      </w:r>
    </w:p>
    <w:p w14:paraId="2739713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二、针对问题交流讨论</w:t>
      </w:r>
    </w:p>
    <w:p w14:paraId="6F382CF9">
      <w:pPr>
        <w:ind w:firstLine="480" w:firstLineChars="200"/>
        <w:rPr>
          <w:sz w:val="24"/>
        </w:rPr>
      </w:pPr>
      <w:r>
        <w:rPr>
          <w:rFonts w:hint="eastAsia"/>
          <w:sz w:val="24"/>
        </w:rPr>
        <w:t>学生：针对《自主探究》中的问题，向小组内其他同学解释自己的思考、想法，听取、理解或指正其他同学的思考、想法。</w:t>
      </w:r>
    </w:p>
    <w:p w14:paraId="4DC26141">
      <w:pPr>
        <w:ind w:firstLine="480" w:firstLineChars="200"/>
        <w:rPr>
          <w:sz w:val="24"/>
        </w:rPr>
      </w:pPr>
      <w:r>
        <w:rPr>
          <w:rFonts w:hint="eastAsia"/>
          <w:sz w:val="24"/>
        </w:rPr>
        <w:t>小组：通过讨论形成小组意见，并确定一人作代表，准备与其他小组或全班交流，然后进行全班交流、讨论。</w:t>
      </w:r>
    </w:p>
    <w:p w14:paraId="70AFD2BD">
      <w:pPr>
        <w:ind w:firstLine="480" w:firstLineChars="200"/>
        <w:rPr>
          <w:sz w:val="28"/>
          <w:szCs w:val="28"/>
        </w:rPr>
      </w:pPr>
      <w:r>
        <w:rPr>
          <w:rFonts w:hint="eastAsia"/>
          <w:sz w:val="24"/>
        </w:rPr>
        <w:t>教师：组织各小组交流、指导个别小组讨论、发现好的思考、想法，考评各小组的合作学习情况，寻找典型个案用于课堂展示，有效组织“思考”，适当穿插一些讲解分析，力求简要清晰、时短量大、高效低耗，有较强的启发探究价值，能为后续的小组合作留有足够的空间。</w:t>
      </w:r>
    </w:p>
    <w:p w14:paraId="63FF287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三、变式问题迁移创新</w:t>
      </w:r>
    </w:p>
    <w:p w14:paraId="4F91D806">
      <w:pPr>
        <w:ind w:firstLine="480" w:firstLineChars="200"/>
        <w:rPr>
          <w:sz w:val="24"/>
        </w:rPr>
      </w:pPr>
      <w:r>
        <w:rPr>
          <w:rFonts w:hint="eastAsia"/>
          <w:sz w:val="24"/>
        </w:rPr>
        <w:t>学生：积极进行知识迁移、训练，敢于发表自己的见解，为小组其他同学编制变式试题、提供训练文本等。</w:t>
      </w:r>
    </w:p>
    <w:p w14:paraId="241C537E">
      <w:pPr>
        <w:ind w:firstLine="480" w:firstLineChars="200"/>
        <w:rPr>
          <w:sz w:val="24"/>
        </w:rPr>
      </w:pPr>
      <w:r>
        <w:rPr>
          <w:rFonts w:hint="eastAsia"/>
          <w:sz w:val="24"/>
        </w:rPr>
        <w:t>小组：督促组内成员掌握这一环节所做各道习题，开展组内批阅。</w:t>
      </w:r>
    </w:p>
    <w:p w14:paraId="07A2DD0A">
      <w:pPr>
        <w:ind w:firstLine="480" w:firstLineChars="200"/>
        <w:rPr>
          <w:sz w:val="28"/>
          <w:szCs w:val="28"/>
        </w:rPr>
      </w:pPr>
      <w:r>
        <w:rPr>
          <w:rFonts w:hint="eastAsia"/>
          <w:sz w:val="24"/>
        </w:rPr>
        <w:t>教师：设计针对性的练习、训练文本、变式试题，组织学生合作解决，积极“思考”（引导学生归纳出新知识、新思路方面的一般结论，并整理成知识体系），培养学生良好的行为习惯、学习习惯、实践能力和创新能力，提升学科素养。</w:t>
      </w:r>
    </w:p>
    <w:p w14:paraId="315A5573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四、回顾反思生成问题</w:t>
      </w:r>
    </w:p>
    <w:p w14:paraId="7DCAF386">
      <w:pPr>
        <w:ind w:firstLine="480" w:firstLineChars="200"/>
        <w:rPr>
          <w:sz w:val="24"/>
        </w:rPr>
      </w:pPr>
      <w:r>
        <w:rPr>
          <w:rFonts w:hint="eastAsia"/>
          <w:sz w:val="24"/>
        </w:rPr>
        <w:t>学生：反思当堂学习的内容，完成《回标巩固》的习题，相互批阅，掌握相关内容，生成新的问题。进行自我总结梳理（合作后的独立知识建构）。</w:t>
      </w:r>
    </w:p>
    <w:p w14:paraId="5A3A02CB">
      <w:pPr>
        <w:ind w:firstLine="480" w:firstLineChars="200"/>
        <w:rPr>
          <w:sz w:val="24"/>
        </w:rPr>
      </w:pPr>
      <w:r>
        <w:rPr>
          <w:rFonts w:hint="eastAsia"/>
          <w:sz w:val="24"/>
        </w:rPr>
        <w:t>小组：督促组内成员掌握《回标巩固》的内容，进行课堂小结。</w:t>
      </w:r>
    </w:p>
    <w:p w14:paraId="1871EDE1">
      <w:pPr>
        <w:ind w:firstLine="480" w:firstLineChars="200"/>
        <w:rPr>
          <w:sz w:val="28"/>
          <w:szCs w:val="28"/>
        </w:rPr>
      </w:pPr>
      <w:r>
        <w:rPr>
          <w:rFonts w:hint="eastAsia"/>
          <w:sz w:val="24"/>
        </w:rPr>
        <w:t>教师：精心设计《回标巩固》，引导学生讨论、交流《回标巩固》涉及的知识要点，指导学生进行课堂小结，收集学生生成的新问题。</w:t>
      </w:r>
    </w:p>
    <w:p w14:paraId="48386834">
      <w:pPr>
        <w:rPr>
          <w:b/>
          <w:sz w:val="28"/>
          <w:szCs w:val="28"/>
        </w:rPr>
      </w:pPr>
    </w:p>
    <w:p w14:paraId="0D527874">
      <w:pPr>
        <w:rPr>
          <w:b/>
          <w:sz w:val="28"/>
          <w:szCs w:val="28"/>
        </w:rPr>
      </w:pPr>
    </w:p>
    <w:p w14:paraId="051A05AD">
      <w:pPr>
        <w:rPr>
          <w:b/>
          <w:sz w:val="28"/>
          <w:szCs w:val="28"/>
        </w:rPr>
      </w:pPr>
    </w:p>
    <w:p w14:paraId="7ECA22D9">
      <w:pPr>
        <w:rPr>
          <w:b/>
          <w:sz w:val="28"/>
          <w:szCs w:val="28"/>
        </w:rPr>
      </w:pPr>
    </w:p>
    <w:p w14:paraId="48007611">
      <w:pPr>
        <w:rPr>
          <w:b/>
          <w:sz w:val="28"/>
          <w:szCs w:val="28"/>
        </w:rPr>
      </w:pPr>
    </w:p>
    <w:p w14:paraId="320949E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复习课（基础年级习题课、高三一轮复习课）四环节：</w:t>
      </w:r>
    </w:p>
    <w:p w14:paraId="7CD9A11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一、知识梳理</w:t>
      </w:r>
    </w:p>
    <w:p w14:paraId="6AB746A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二、基础训练</w:t>
      </w:r>
    </w:p>
    <w:p w14:paraId="0AFCB66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三、典例研析</w:t>
      </w:r>
    </w:p>
    <w:p w14:paraId="6386DCF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四、生成问题</w:t>
      </w:r>
    </w:p>
    <w:p w14:paraId="7D069784">
      <w:pPr>
        <w:ind w:firstLine="720" w:firstLineChars="300"/>
        <w:rPr>
          <w:sz w:val="24"/>
        </w:rPr>
      </w:pPr>
      <w:r>
        <w:rPr>
          <w:rFonts w:hint="eastAsia"/>
          <w:sz w:val="24"/>
        </w:rPr>
        <w:t>各环节具体任务设计体现一轮复习课的特点，服从一轮复习课的需要。</w:t>
      </w:r>
    </w:p>
    <w:p w14:paraId="75F268BA"/>
    <w:p w14:paraId="66EA3CED"/>
    <w:p w14:paraId="0F11BD79"/>
    <w:p w14:paraId="19A381DF"/>
    <w:p w14:paraId="09376F6C"/>
    <w:p w14:paraId="5648375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复习课（高三二轮）四环节：</w:t>
      </w:r>
    </w:p>
    <w:p w14:paraId="35616CB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一、问题呈现</w:t>
      </w:r>
    </w:p>
    <w:p w14:paraId="53135B0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二、分析探究</w:t>
      </w:r>
    </w:p>
    <w:p w14:paraId="6C94312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三、迁移创新</w:t>
      </w:r>
    </w:p>
    <w:p w14:paraId="5600BCD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四、反思生成</w:t>
      </w:r>
    </w:p>
    <w:p w14:paraId="7A753AAA">
      <w:pPr>
        <w:ind w:firstLine="720" w:firstLineChars="300"/>
        <w:rPr>
          <w:sz w:val="24"/>
        </w:rPr>
      </w:pPr>
    </w:p>
    <w:p w14:paraId="4C1D1E28">
      <w:pPr>
        <w:ind w:firstLine="720" w:firstLineChars="300"/>
        <w:rPr>
          <w:sz w:val="24"/>
        </w:rPr>
      </w:pPr>
      <w:r>
        <w:rPr>
          <w:rFonts w:hint="eastAsia"/>
          <w:sz w:val="24"/>
        </w:rPr>
        <w:t>各环节具体任务设计体现二轮复习课的特点，服从二轮复习课的需要。</w:t>
      </w:r>
    </w:p>
    <w:p w14:paraId="3BEC9AD5">
      <w:pPr>
        <w:ind w:firstLine="720" w:firstLineChars="300"/>
        <w:rPr>
          <w:sz w:val="24"/>
        </w:rPr>
      </w:pPr>
    </w:p>
    <w:p w14:paraId="71462127">
      <w:pPr>
        <w:ind w:firstLine="720" w:firstLineChars="300"/>
        <w:rPr>
          <w:sz w:val="24"/>
        </w:rPr>
      </w:pPr>
    </w:p>
    <w:p w14:paraId="176211C9">
      <w:pPr>
        <w:ind w:firstLine="720" w:firstLineChars="300"/>
        <w:rPr>
          <w:sz w:val="24"/>
        </w:rPr>
      </w:pPr>
    </w:p>
    <w:p w14:paraId="5B4C2061">
      <w:pPr>
        <w:ind w:firstLine="720" w:firstLineChars="300"/>
        <w:rPr>
          <w:sz w:val="24"/>
        </w:rPr>
      </w:pPr>
    </w:p>
    <w:p w14:paraId="37E621C0">
      <w:pPr>
        <w:ind w:firstLine="720" w:firstLineChars="300"/>
        <w:rPr>
          <w:sz w:val="24"/>
        </w:rPr>
      </w:pPr>
    </w:p>
    <w:p w14:paraId="726D054B">
      <w:pPr>
        <w:ind w:firstLine="720" w:firstLineChars="300"/>
        <w:rPr>
          <w:sz w:val="24"/>
        </w:rPr>
      </w:pPr>
    </w:p>
    <w:p w14:paraId="4FC306DD">
      <w:pPr>
        <w:ind w:firstLine="720" w:firstLineChars="300"/>
        <w:rPr>
          <w:sz w:val="24"/>
        </w:rPr>
      </w:pPr>
    </w:p>
    <w:p w14:paraId="67324838">
      <w:pPr>
        <w:ind w:firstLine="720" w:firstLineChars="300"/>
        <w:rPr>
          <w:sz w:val="24"/>
        </w:rPr>
      </w:pPr>
    </w:p>
    <w:p w14:paraId="6574F6B3">
      <w:pPr>
        <w:ind w:firstLine="720" w:firstLineChars="300"/>
        <w:rPr>
          <w:sz w:val="24"/>
        </w:rPr>
      </w:pPr>
    </w:p>
    <w:p w14:paraId="5C9521C1">
      <w:pPr>
        <w:ind w:firstLine="720" w:firstLineChars="300"/>
        <w:rPr>
          <w:sz w:val="24"/>
        </w:rPr>
      </w:pPr>
    </w:p>
    <w:p w14:paraId="509D0365">
      <w:pPr>
        <w:ind w:firstLine="720" w:firstLineChars="300"/>
        <w:rPr>
          <w:sz w:val="24"/>
        </w:rPr>
      </w:pPr>
    </w:p>
    <w:p w14:paraId="0DE259E2">
      <w:pPr>
        <w:ind w:firstLine="720" w:firstLineChars="300"/>
        <w:rPr>
          <w:sz w:val="24"/>
        </w:rPr>
      </w:pPr>
    </w:p>
    <w:p w14:paraId="20658CA9">
      <w:pPr>
        <w:ind w:firstLine="720" w:firstLineChars="300"/>
        <w:rPr>
          <w:sz w:val="24"/>
        </w:rPr>
      </w:pPr>
    </w:p>
    <w:p w14:paraId="1A46D0D7">
      <w:pPr>
        <w:ind w:firstLine="720" w:firstLineChars="300"/>
        <w:rPr>
          <w:sz w:val="24"/>
        </w:rPr>
      </w:pPr>
    </w:p>
    <w:p w14:paraId="0DBD24E2">
      <w:pPr>
        <w:ind w:firstLine="720" w:firstLineChars="300"/>
        <w:rPr>
          <w:sz w:val="24"/>
        </w:rPr>
      </w:pPr>
    </w:p>
    <w:p w14:paraId="52BD724A">
      <w:pPr>
        <w:ind w:firstLine="720" w:firstLineChars="300"/>
        <w:rPr>
          <w:sz w:val="24"/>
        </w:rPr>
      </w:pPr>
    </w:p>
    <w:p w14:paraId="4765FEDF">
      <w:pPr>
        <w:pBdr>
          <w:bottom w:val="single" w:color="auto" w:sz="6" w:space="1"/>
        </w:pBdr>
        <w:tabs>
          <w:tab w:val="center" w:pos="4153"/>
          <w:tab w:val="right" w:pos="8306"/>
        </w:tabs>
        <w:snapToGrid w:val="0"/>
        <w:ind w:right="240" w:firstLine="1536" w:firstLineChars="850"/>
        <w:jc w:val="left"/>
        <w:rPr>
          <w:rFonts w:asciiTheme="minorHAnsi" w:hAnsiTheme="minorHAnsi" w:eastAsiaTheme="minorEastAsia" w:cstheme="minorBidi"/>
          <w:sz w:val="18"/>
          <w:szCs w:val="18"/>
        </w:rPr>
      </w:pPr>
      <w:r>
        <w:rPr>
          <w:rFonts w:hint="eastAsia" w:ascii="黑体" w:hAnsi="黑体" w:eastAsia="黑体" w:cstheme="minorBidi"/>
          <w:b/>
          <w:sz w:val="18"/>
          <w:szCs w:val="21"/>
        </w:rPr>
        <w:t>盐城市第一中学“学思融通”视域下 “生长型”（三问四环节）课堂</w:t>
      </w:r>
      <w:r>
        <w:rPr>
          <w:rFonts w:hint="eastAsia" w:asciiTheme="minorHAnsi" w:hAnsiTheme="minorHAnsi" w:eastAsiaTheme="minorEastAsia" w:cstheme="minorBidi"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0</wp:posOffset>
            </wp:positionV>
            <wp:extent cx="359410" cy="496570"/>
            <wp:effectExtent l="0" t="0" r="2540" b="0"/>
            <wp:wrapTight wrapText="bothSides">
              <wp:wrapPolygon>
                <wp:start x="0" y="0"/>
                <wp:lineTo x="0" y="20716"/>
                <wp:lineTo x="20608" y="20716"/>
                <wp:lineTo x="20608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4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eastAsiaTheme="minorEastAsia" w:cstheme="minorBidi"/>
          <w:sz w:val="24"/>
        </w:rPr>
        <w:t xml:space="preserve">      </w:t>
      </w:r>
    </w:p>
    <w:p w14:paraId="1DEB91B6">
      <w:pPr>
        <w:jc w:val="center"/>
        <w:rPr>
          <w:rFonts w:ascii="仿宋" w:hAnsi="仿宋" w:eastAsia="仿宋" w:cstheme="minorBidi"/>
          <w:b/>
          <w:sz w:val="15"/>
          <w:szCs w:val="15"/>
        </w:rPr>
      </w:pPr>
      <w:r>
        <w:rPr>
          <w:rFonts w:hint="eastAsia" w:ascii="仿宋" w:hAnsi="仿宋" w:eastAsia="仿宋" w:cstheme="minorBidi"/>
          <w:b/>
          <w:sz w:val="32"/>
          <w:szCs w:val="32"/>
        </w:rPr>
        <w:t>高二年级ХХ学科 导学案</w:t>
      </w:r>
      <w:r>
        <w:rPr>
          <w:rFonts w:hint="eastAsia" w:ascii="仿宋" w:hAnsi="仿宋" w:eastAsia="仿宋" w:cstheme="minorBidi"/>
          <w:b/>
          <w:sz w:val="15"/>
          <w:szCs w:val="15"/>
        </w:rPr>
        <w:t>（仿宋，三号，加粗，居中）</w:t>
      </w:r>
    </w:p>
    <w:p w14:paraId="028E1795">
      <w:pPr>
        <w:jc w:val="center"/>
        <w:rPr>
          <w:rFonts w:hint="eastAsia" w:ascii="仿宋" w:hAnsi="仿宋" w:eastAsia="仿宋" w:cstheme="minorBidi"/>
          <w:b/>
          <w:sz w:val="15"/>
          <w:szCs w:val="15"/>
        </w:rPr>
      </w:pPr>
      <w:r>
        <w:rPr>
          <w:rFonts w:hint="eastAsia" w:ascii="楷体" w:hAnsi="楷体" w:eastAsia="楷体" w:cstheme="minorBidi"/>
          <w:b/>
          <w:szCs w:val="22"/>
        </w:rPr>
        <w:t xml:space="preserve">       编写人:胡芳 做题人：郭海  审核人：顾亚德</w:t>
      </w:r>
      <w:r>
        <w:rPr>
          <w:rFonts w:hint="eastAsia" w:ascii="仿宋" w:hAnsi="仿宋" w:eastAsia="仿宋" w:cstheme="minorBidi"/>
          <w:b/>
          <w:sz w:val="15"/>
          <w:szCs w:val="15"/>
        </w:rPr>
        <w:t>（楷体，5号，加粗，居中）</w:t>
      </w:r>
    </w:p>
    <w:p w14:paraId="77E4F580">
      <w:pPr>
        <w:jc w:val="center"/>
        <w:rPr>
          <w:rFonts w:ascii="仿宋" w:hAnsi="仿宋" w:eastAsia="仿宋"/>
          <w:b/>
          <w:kern w:val="0"/>
          <w:sz w:val="15"/>
          <w:szCs w:val="15"/>
        </w:rPr>
      </w:pPr>
      <w:r>
        <w:rPr>
          <w:rFonts w:hint="eastAsia"/>
          <w:color w:val="000000"/>
          <w:kern w:val="0"/>
          <w:sz w:val="28"/>
          <w:szCs w:val="28"/>
        </w:rPr>
        <w:t>班级_______姓名___________学号______</w:t>
      </w:r>
    </w:p>
    <w:p w14:paraId="2FEE019B">
      <w:pPr>
        <w:jc w:val="center"/>
        <w:rPr>
          <w:rFonts w:ascii="仿宋" w:hAnsi="仿宋" w:eastAsia="仿宋" w:cstheme="minorBidi"/>
          <w:b/>
          <w:sz w:val="32"/>
          <w:szCs w:val="32"/>
        </w:rPr>
      </w:pPr>
      <w:r>
        <w:rPr>
          <w:rFonts w:hint="eastAsia" w:ascii="仿宋" w:hAnsi="仿宋" w:eastAsia="仿宋" w:cstheme="minorBidi"/>
          <w:b/>
          <w:sz w:val="32"/>
          <w:szCs w:val="32"/>
        </w:rPr>
        <w:t>课题：</w:t>
      </w:r>
      <w:r>
        <w:rPr>
          <w:rFonts w:ascii="仿宋" w:hAnsi="仿宋" w:eastAsia="仿宋" w:cstheme="minorBidi"/>
          <w:b/>
          <w:sz w:val="32"/>
          <w:szCs w:val="32"/>
        </w:rPr>
        <w:t xml:space="preserve"> </w:t>
      </w:r>
    </w:p>
    <w:p w14:paraId="2434A48B">
      <w:pPr>
        <w:jc w:val="center"/>
        <w:rPr>
          <w:rFonts w:ascii="仿宋" w:hAnsi="仿宋" w:eastAsia="仿宋" w:cstheme="minorBidi"/>
          <w:b/>
          <w:sz w:val="15"/>
          <w:szCs w:val="15"/>
        </w:rPr>
      </w:pPr>
      <w:r>
        <w:rPr>
          <w:rFonts w:hint="eastAsia" w:ascii="仿宋" w:hAnsi="仿宋" w:eastAsia="仿宋" w:cstheme="minorBidi"/>
          <w:b/>
          <w:sz w:val="15"/>
          <w:szCs w:val="15"/>
        </w:rPr>
        <w:t>（仿宋，三号，加粗，居中）</w:t>
      </w:r>
    </w:p>
    <w:p w14:paraId="76FD7429">
      <w:pPr>
        <w:textAlignment w:val="center"/>
        <w:rPr>
          <w:rFonts w:ascii="宋体" w:hAnsi="宋体" w:cs="宋体"/>
          <w:b/>
          <w:sz w:val="24"/>
        </w:rPr>
      </w:pPr>
      <w:r>
        <w:rPr>
          <w:rFonts w:hint="eastAsia" w:ascii="楷体" w:hAnsi="楷体" w:eastAsia="楷体" w:cs="楷体"/>
          <w:b/>
          <w:sz w:val="24"/>
        </w:rPr>
        <w:t>【学习目标】</w:t>
      </w:r>
      <w:r>
        <w:rPr>
          <w:rFonts w:hint="eastAsia" w:ascii="仿宋" w:hAnsi="仿宋" w:eastAsia="仿宋" w:cstheme="minorBidi"/>
          <w:b/>
          <w:sz w:val="15"/>
          <w:szCs w:val="15"/>
        </w:rPr>
        <w:t>（楷体，小四号，加粗，居左）</w:t>
      </w:r>
    </w:p>
    <w:p w14:paraId="1ABF62D0">
      <w:pPr>
        <w:rPr>
          <w:rFonts w:ascii="楷体" w:hAnsi="楷体" w:eastAsia="楷体" w:cstheme="minorBidi"/>
          <w:b/>
          <w:szCs w:val="21"/>
        </w:rPr>
      </w:pPr>
      <w:r>
        <w:rPr>
          <w:rFonts w:hint="eastAsia" w:ascii="楷体" w:hAnsi="楷体" w:eastAsia="楷体" w:cstheme="minorBidi"/>
          <w:b/>
          <w:szCs w:val="21"/>
        </w:rPr>
        <w:t>（正文部分为宋体，五号；阅读材料为楷体，五号）</w:t>
      </w:r>
    </w:p>
    <w:p w14:paraId="76AFBB21">
      <w:pPr>
        <w:textAlignment w:val="center"/>
        <w:rPr>
          <w:rFonts w:ascii="宋体" w:hAnsi="宋体" w:cs="宋体"/>
          <w:b/>
          <w:szCs w:val="22"/>
        </w:rPr>
      </w:pPr>
    </w:p>
    <w:p w14:paraId="54E62187">
      <w:pPr>
        <w:textAlignment w:val="center"/>
        <w:rPr>
          <w:rFonts w:ascii="宋体" w:hAnsi="宋体" w:cs="宋体"/>
          <w:b/>
          <w:szCs w:val="22"/>
        </w:rPr>
      </w:pPr>
    </w:p>
    <w:p w14:paraId="7ADD78CA">
      <w:pPr>
        <w:textAlignment w:val="center"/>
        <w:rPr>
          <w:rFonts w:ascii="楷体" w:hAnsi="楷体" w:eastAsia="楷体" w:cs="楷体"/>
          <w:b/>
          <w:sz w:val="24"/>
        </w:rPr>
      </w:pPr>
      <w:r>
        <w:rPr>
          <w:rFonts w:hint="eastAsia" w:ascii="楷体" w:hAnsi="楷体" w:eastAsia="楷体" w:cs="楷体"/>
          <w:b/>
          <w:sz w:val="24"/>
        </w:rPr>
        <w:t>【重点与难点】</w:t>
      </w:r>
    </w:p>
    <w:p w14:paraId="49FDB5A4">
      <w:pPr>
        <w:textAlignment w:val="center"/>
        <w:rPr>
          <w:rFonts w:ascii="楷体" w:hAnsi="楷体" w:eastAsia="楷体" w:cs="楷体"/>
          <w:b/>
          <w:sz w:val="24"/>
        </w:rPr>
      </w:pPr>
    </w:p>
    <w:p w14:paraId="5030A0D1">
      <w:pPr>
        <w:textAlignment w:val="center"/>
        <w:rPr>
          <w:rFonts w:ascii="楷体" w:hAnsi="楷体" w:eastAsia="楷体" w:cs="楷体"/>
          <w:b/>
          <w:sz w:val="24"/>
        </w:rPr>
      </w:pPr>
    </w:p>
    <w:p w14:paraId="41E8A468">
      <w:pPr>
        <w:textAlignment w:val="center"/>
        <w:rPr>
          <w:rFonts w:ascii="楷体" w:hAnsi="楷体" w:eastAsia="楷体" w:cs="楷体"/>
          <w:b/>
          <w:sz w:val="24"/>
        </w:rPr>
      </w:pPr>
    </w:p>
    <w:p w14:paraId="27BB33A3">
      <w:pPr>
        <w:textAlignment w:val="center"/>
        <w:rPr>
          <w:rFonts w:ascii="楷体" w:hAnsi="楷体" w:eastAsia="楷体" w:cs="楷体"/>
          <w:b/>
          <w:sz w:val="24"/>
        </w:rPr>
      </w:pPr>
      <w:r>
        <w:rPr>
          <w:rFonts w:hint="eastAsia" w:ascii="楷体" w:hAnsi="楷体" w:eastAsia="楷体" w:cs="楷体"/>
          <w:b/>
          <w:sz w:val="24"/>
        </w:rPr>
        <w:t xml:space="preserve">                               </w:t>
      </w:r>
    </w:p>
    <w:p w14:paraId="5FCF0C8F">
      <w:pPr>
        <w:textAlignment w:val="center"/>
        <w:rPr>
          <w:rFonts w:ascii="楷体" w:hAnsi="楷体" w:eastAsia="楷体" w:cs="楷体"/>
          <w:b/>
          <w:sz w:val="24"/>
        </w:rPr>
      </w:pPr>
      <w:r>
        <w:rPr>
          <w:rFonts w:hint="eastAsia" w:ascii="楷体" w:hAnsi="楷体" w:eastAsia="楷体" w:cs="楷体"/>
          <w:b/>
          <w:sz w:val="24"/>
        </w:rPr>
        <w:t>【课堂教学】</w:t>
      </w:r>
    </w:p>
    <w:p w14:paraId="51D8EBAC">
      <w:pPr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一、导入问题，自主研习</w:t>
      </w:r>
    </w:p>
    <w:p w14:paraId="766C177F">
      <w:pPr>
        <w:textAlignment w:val="center"/>
        <w:rPr>
          <w:rFonts w:ascii="楷体" w:hAnsi="楷体" w:eastAsia="楷体" w:cs="楷体"/>
          <w:b/>
          <w:sz w:val="24"/>
        </w:rPr>
      </w:pPr>
    </w:p>
    <w:p w14:paraId="166265F0">
      <w:pPr>
        <w:textAlignment w:val="center"/>
        <w:rPr>
          <w:rFonts w:ascii="楷体" w:hAnsi="楷体" w:eastAsia="楷体" w:cs="楷体"/>
          <w:b/>
          <w:sz w:val="24"/>
        </w:rPr>
      </w:pPr>
    </w:p>
    <w:p w14:paraId="18FA9167">
      <w:pPr>
        <w:rPr>
          <w:rFonts w:ascii="宋体" w:hAnsi="宋体" w:cs="宋体"/>
          <w:b/>
          <w:sz w:val="24"/>
        </w:rPr>
      </w:pPr>
    </w:p>
    <w:p w14:paraId="4F565C8F">
      <w:pPr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二、小组交流，教师提炼</w:t>
      </w:r>
    </w:p>
    <w:p w14:paraId="29BB35E6">
      <w:pPr>
        <w:textAlignment w:val="center"/>
        <w:rPr>
          <w:rFonts w:ascii="楷体" w:hAnsi="楷体" w:eastAsia="楷体" w:cs="楷体"/>
          <w:b/>
          <w:sz w:val="24"/>
        </w:rPr>
      </w:pPr>
    </w:p>
    <w:p w14:paraId="168F2CC5">
      <w:pPr>
        <w:rPr>
          <w:rFonts w:asciiTheme="minorHAnsi" w:hAnsiTheme="minorHAnsi" w:eastAsiaTheme="minorEastAsia" w:cstheme="minorBidi"/>
          <w:szCs w:val="22"/>
        </w:rPr>
      </w:pPr>
    </w:p>
    <w:p w14:paraId="36673A3B">
      <w:pPr>
        <w:rPr>
          <w:rFonts w:asciiTheme="minorHAnsi" w:hAnsiTheme="minorHAnsi" w:eastAsiaTheme="minorEastAsia" w:cstheme="minorBidi"/>
          <w:szCs w:val="22"/>
        </w:rPr>
      </w:pPr>
    </w:p>
    <w:p w14:paraId="5E38A361">
      <w:pPr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三、情景创新、变式提升</w:t>
      </w:r>
    </w:p>
    <w:p w14:paraId="7ABC5ACB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例题</w:t>
      </w:r>
    </w:p>
    <w:p w14:paraId="3CB7A791">
      <w:pPr>
        <w:rPr>
          <w:rFonts w:ascii="宋体" w:hAnsi="宋体" w:cs="宋体"/>
          <w:b/>
          <w:szCs w:val="21"/>
        </w:rPr>
      </w:pPr>
    </w:p>
    <w:p w14:paraId="7FAAC250">
      <w:pPr>
        <w:rPr>
          <w:rFonts w:ascii="宋体" w:hAnsi="宋体" w:cs="宋体"/>
          <w:b/>
          <w:szCs w:val="21"/>
        </w:rPr>
      </w:pPr>
    </w:p>
    <w:p w14:paraId="4D25317B">
      <w:pPr>
        <w:rPr>
          <w:rFonts w:ascii="宋体" w:hAnsi="宋体" w:cs="宋体"/>
          <w:b/>
          <w:szCs w:val="21"/>
        </w:rPr>
      </w:pPr>
    </w:p>
    <w:p w14:paraId="01B7156C">
      <w:pPr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变式</w:t>
      </w:r>
    </w:p>
    <w:p w14:paraId="52185D40">
      <w:pPr>
        <w:rPr>
          <w:rFonts w:ascii="宋体" w:hAnsi="宋体" w:cs="宋体"/>
          <w:b/>
          <w:szCs w:val="21"/>
        </w:rPr>
      </w:pPr>
    </w:p>
    <w:p w14:paraId="715CD52A">
      <w:pPr>
        <w:rPr>
          <w:rFonts w:ascii="宋体" w:hAnsi="宋体" w:cs="宋体"/>
          <w:b/>
          <w:sz w:val="24"/>
        </w:rPr>
      </w:pPr>
    </w:p>
    <w:p w14:paraId="254D0C58">
      <w:pPr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四、回标巩固，生成问题</w:t>
      </w:r>
    </w:p>
    <w:p w14:paraId="5FBEA7F7">
      <w:pPr>
        <w:rPr>
          <w:rFonts w:ascii="宋体" w:hAnsi="宋体" w:cs="宋体"/>
          <w:b/>
          <w:szCs w:val="21"/>
        </w:rPr>
      </w:pPr>
    </w:p>
    <w:p w14:paraId="70E96F10">
      <w:pPr>
        <w:textAlignment w:val="center"/>
        <w:rPr>
          <w:rFonts w:ascii="楷体" w:hAnsi="楷体" w:eastAsia="楷体" w:cs="楷体"/>
          <w:b/>
          <w:sz w:val="24"/>
        </w:rPr>
      </w:pPr>
    </w:p>
    <w:p w14:paraId="40734617">
      <w:pPr>
        <w:textAlignment w:val="center"/>
        <w:rPr>
          <w:rFonts w:ascii="楷体" w:hAnsi="楷体" w:eastAsia="楷体" w:cs="楷体"/>
          <w:b/>
          <w:sz w:val="24"/>
        </w:rPr>
      </w:pPr>
    </w:p>
    <w:p w14:paraId="40A9541A">
      <w:pPr>
        <w:textAlignment w:val="center"/>
        <w:rPr>
          <w:rFonts w:ascii="楷体" w:hAnsi="楷体" w:eastAsia="楷体" w:cs="楷体"/>
          <w:b/>
          <w:sz w:val="24"/>
        </w:rPr>
      </w:pPr>
    </w:p>
    <w:p w14:paraId="36943B86">
      <w:pPr>
        <w:rPr>
          <w:rFonts w:ascii="宋体" w:hAnsi="宋体" w:cs="宋体"/>
          <w:b/>
          <w:sz w:val="24"/>
        </w:rPr>
      </w:pPr>
      <w:r>
        <w:rPr>
          <w:rFonts w:hint="eastAsia" w:ascii="楷体" w:hAnsi="楷体" w:eastAsia="楷体" w:cs="楷体"/>
          <w:b/>
          <w:sz w:val="24"/>
        </w:rPr>
        <w:t>【限时训练】</w:t>
      </w:r>
    </w:p>
    <w:p w14:paraId="41235716">
      <w:pPr>
        <w:ind w:firstLine="720" w:firstLineChars="300"/>
        <w:rPr>
          <w:sz w:val="24"/>
        </w:rPr>
      </w:pPr>
    </w:p>
    <w:p w14:paraId="7367DE1C">
      <w:pPr>
        <w:ind w:firstLine="720" w:firstLineChars="300"/>
        <w:rPr>
          <w:sz w:val="24"/>
        </w:rPr>
      </w:pPr>
    </w:p>
    <w:p w14:paraId="217634A8">
      <w:pPr>
        <w:jc w:val="center"/>
        <w:rPr>
          <w:rFonts w:hint="eastAsia"/>
          <w:b/>
          <w:sz w:val="28"/>
          <w:szCs w:val="28"/>
        </w:rPr>
      </w:pPr>
    </w:p>
    <w:p w14:paraId="0E1CF72F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盐城市第一中学</w:t>
      </w:r>
    </w:p>
    <w:p w14:paraId="5A3C76E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生长型课堂评价</w:t>
      </w:r>
    </w:p>
    <w:p w14:paraId="28FD2C0A">
      <w:pPr>
        <w:jc w:val="center"/>
        <w:rPr>
          <w:sz w:val="24"/>
        </w:rPr>
      </w:pPr>
      <w:r>
        <w:rPr>
          <w:rFonts w:hint="eastAsia"/>
          <w:sz w:val="24"/>
        </w:rPr>
        <w:t>《建构普通高中生长型课堂的行动研究》课题组</w:t>
      </w:r>
    </w:p>
    <w:p w14:paraId="675D01E8">
      <w:pPr>
        <w:jc w:val="center"/>
        <w:rPr>
          <w:sz w:val="24"/>
        </w:rPr>
      </w:pPr>
    </w:p>
    <w:p w14:paraId="403ADA63"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教学评价是课堂教学活动的重要组成部分。评价要以课程目标、课程内容和学业质量标准为基本依据。日常教学活动评价，要以教学目标的达成为依据。评价不仅要关注学生知识技能的掌握，还要关注学生的学习态度的改变、学习方法的优化和学习习惯的养成，更要关注学生学科核心素养水平的达成。因此，高中生长型课堂的评价，着重围绕师生核心素养的达成，突出四环节中师生的态度、方法、习惯的形成，尤其要看师生是否形成了注重自我思考的“生长型”思维、理念。高中生长型课堂秉持的教学理念为：以师生发展为本，尊重差异，让不同的师生在各学科学习上得到不同的发展；突出立德树人，渗透生长型理念，强调人人都是知识的生产者，追求原创性、实践性和自主性，创设研究性情境，倡导研究性学习，引导学生感受知识的来龙去脉，帮助学生正确理解知识，抓住学科本质，发展学科思维，致力培养学生的创新意识、生长思维，引导学生形成正确的世界观、人生观、价值观。评价从定量与定性两个维度进行，特别关注知识的连续性，方法的合理性，思路的自然性，思维的流畅性，思想的活跃性，思考的创新性。</w:t>
      </w:r>
    </w:p>
    <w:p w14:paraId="27E8E756">
      <w:pPr>
        <w:spacing w:line="360" w:lineRule="auto"/>
        <w:ind w:firstLine="482" w:firstLineChars="200"/>
        <w:jc w:val="left"/>
        <w:rPr>
          <w:b/>
          <w:sz w:val="24"/>
        </w:rPr>
      </w:pPr>
      <w:r>
        <w:rPr>
          <w:rFonts w:hint="eastAsia"/>
          <w:b/>
          <w:sz w:val="24"/>
        </w:rPr>
        <w:t>一、定量评价</w:t>
      </w:r>
    </w:p>
    <w:p w14:paraId="5A503CC5"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分一级指标与二级指标，一级指标分学生行为和教师行为，又各含五个方面。</w:t>
      </w:r>
    </w:p>
    <w:p w14:paraId="5D196E95">
      <w:pPr>
        <w:spacing w:line="360" w:lineRule="auto"/>
        <w:ind w:firstLine="482" w:firstLineChars="200"/>
        <w:jc w:val="left"/>
        <w:rPr>
          <w:b/>
          <w:sz w:val="24"/>
        </w:rPr>
      </w:pPr>
      <w:r>
        <w:rPr>
          <w:rFonts w:hint="eastAsia"/>
          <w:b/>
          <w:sz w:val="24"/>
        </w:rPr>
        <w:t>1．学生行为</w:t>
      </w:r>
    </w:p>
    <w:p w14:paraId="6A9F31AE"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自主学习：看学生自主学习的态度、方法、习惯、状态、兴趣、情绪、情感、效果等，是否仅仅为了配合老师完成教案？生长型课堂的实现，离不开精准的学业评价，不仅要关注学生外在的学习结果，更要关注内在的学习品质，尤其是自主学习的效果。</w:t>
      </w:r>
    </w:p>
    <w:p w14:paraId="4BE5E240"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交流讨论：看学生讨论的思维深度、倾听程度、交流频度等。关注学生真实、完整的思维过程，不管是思辨性的讨论，还是讲解性的展示，都应突出学生主体，而不能由老师包办代替，尤其要关注师生能否抓住现场的思维火花生发开去，激发师生在原有思路中继续思考，出现“期遇”，让课堂充满生机活力。</w:t>
      </w:r>
    </w:p>
    <w:p w14:paraId="7C1F3615"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迁移创新：看学生课堂分析新的文本材料、完成变式练习的正确率；编制新的文本材料、变式试题的质量；将本节学习内容与其他知识联系运用的情况。</w:t>
      </w:r>
    </w:p>
    <w:p w14:paraId="47C14483"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问题生成：看学生结合学习内容提出新问题的情况。注重学生当堂思考、临场发挥的质态。</w:t>
      </w:r>
    </w:p>
    <w:p w14:paraId="64D8E2B7"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素养提升：看学生课堂笔记、测试试卷、错题本、小组研讨成果、课堂练习完成情况等，通过这些材料了解学生学习中表现出的学习品质和思维状况，记录学生核心素养的发展轨迹，是否激发了更强的学习欲望？推动着学生整体发展？</w:t>
      </w:r>
    </w:p>
    <w:p w14:paraId="5C51486E">
      <w:pPr>
        <w:spacing w:line="360" w:lineRule="auto"/>
        <w:ind w:firstLine="482" w:firstLineChars="200"/>
        <w:jc w:val="left"/>
        <w:rPr>
          <w:b/>
          <w:sz w:val="24"/>
        </w:rPr>
      </w:pPr>
      <w:r>
        <w:rPr>
          <w:rFonts w:hint="eastAsia"/>
          <w:b/>
          <w:sz w:val="24"/>
        </w:rPr>
        <w:t>2．教师行为</w:t>
      </w:r>
    </w:p>
    <w:p w14:paraId="5298F26F"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教学设计：教学目标是否清晰适当、注重授人以“渔”？是否促进了学生的思维生长？推崇教师的“教”和学生的“学”都是创造性实践，并不断追求更新更高的境界。梅贻琦先生说：“学校犹水也，师生犹鱼也，其行动游泳也，大鱼前导，小鱼尾随，是从游也，从游既久，其濡染观摩之效，自不求而至，不为而成。”整个课堂给人水到渠成、自然流畅、积极向上、深度学习的感受。</w:t>
      </w:r>
    </w:p>
    <w:p w14:paraId="51A8DD37"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讨论指导：将学习内容问题化，以问题驱动思维，指导学生全面、深入地参与交流讨论。备课时设计出不同层次问题，充分考虑学生的思维基础，在学生的“最近发展区”内创设问题，让学生在讨论中逐步提高，力求不同层面的学生都有获得感。注意发现学生讨论过程的正确性结论，即使求解的结果错误，也要善于发现讨论过程中正确的思考与步骤，给学生积极的肯定，保护学生积极思考、参与讨论的自信心和积极性。</w:t>
      </w:r>
    </w:p>
    <w:p w14:paraId="0A8E9ED8"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迁移创新：根据学习内容，选取某个问题做好探究设计，作为探究切入点，将所学知识从熟悉情境向关联情境、综合情境逐步迁移，引导学生不断进行质疑、解疑、生疑，激活常规思维，引导创新思考，开启深度思维，培养探究能力。</w:t>
      </w:r>
    </w:p>
    <w:p w14:paraId="5E0B637E"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反思引导：看学生思维的容量、深度和长度是否得到发展，总结反思的习惯是否得到了培养。</w:t>
      </w:r>
    </w:p>
    <w:p w14:paraId="6D592C2D"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课堂生成：看老师是否仅仅为了完成教案？能否考虑到学生可能存在的思维生长点，适时留给学生时空，给学生思维的拓展与创新留有空间。</w:t>
      </w:r>
    </w:p>
    <w:p w14:paraId="3768A503">
      <w:pPr>
        <w:spacing w:line="360" w:lineRule="auto"/>
        <w:ind w:firstLine="482" w:firstLineChars="200"/>
        <w:jc w:val="left"/>
        <w:rPr>
          <w:b/>
          <w:sz w:val="24"/>
        </w:rPr>
      </w:pPr>
      <w:r>
        <w:rPr>
          <w:rFonts w:hint="eastAsia"/>
          <w:b/>
          <w:sz w:val="24"/>
        </w:rPr>
        <w:t>二、定性评价</w:t>
      </w:r>
    </w:p>
    <w:p w14:paraId="5AE31154"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分特色亮点与改进建议两个方面：本节课有哪些值得肯定的地方？有哪些需要改进的问题？</w:t>
      </w:r>
    </w:p>
    <w:p w14:paraId="08EBB25F">
      <w:pPr>
        <w:spacing w:line="360" w:lineRule="auto"/>
        <w:ind w:firstLine="480" w:firstLineChars="200"/>
        <w:jc w:val="left"/>
        <w:rPr>
          <w:sz w:val="24"/>
        </w:rPr>
      </w:pPr>
    </w:p>
    <w:p w14:paraId="7375727F">
      <w:pPr>
        <w:spacing w:line="360" w:lineRule="auto"/>
        <w:jc w:val="center"/>
        <w:rPr>
          <w:rFonts w:ascii="仿宋" w:hAnsi="仿宋" w:eastAsia="仿宋" w:cs="宋体"/>
          <w:b/>
          <w:sz w:val="28"/>
          <w:szCs w:val="28"/>
        </w:rPr>
      </w:pPr>
      <w:r>
        <w:rPr>
          <w:rFonts w:hint="eastAsia" w:ascii="仿宋" w:hAnsi="仿宋" w:eastAsia="仿宋" w:cs="宋体"/>
          <w:b/>
          <w:sz w:val="28"/>
          <w:szCs w:val="28"/>
        </w:rPr>
        <w:t>盐城市第一中学</w:t>
      </w:r>
    </w:p>
    <w:p w14:paraId="512E3459">
      <w:pPr>
        <w:spacing w:line="360" w:lineRule="auto"/>
        <w:jc w:val="center"/>
        <w:rPr>
          <w:rFonts w:ascii="仿宋" w:hAnsi="仿宋" w:eastAsia="仿宋" w:cs="宋体"/>
          <w:b/>
          <w:sz w:val="28"/>
          <w:szCs w:val="28"/>
        </w:rPr>
      </w:pPr>
      <w:r>
        <w:rPr>
          <w:rFonts w:hint="eastAsia" w:ascii="仿宋" w:hAnsi="仿宋" w:eastAsia="仿宋" w:cs="宋体"/>
          <w:b/>
          <w:sz w:val="28"/>
          <w:szCs w:val="28"/>
        </w:rPr>
        <w:t>生长型课堂评价表</w:t>
      </w:r>
    </w:p>
    <w:p w14:paraId="3E913592">
      <w:pPr>
        <w:snapToGrid w:val="0"/>
        <w:spacing w:line="360" w:lineRule="auto"/>
        <w:rPr>
          <w:rFonts w:ascii="仿宋" w:hAnsi="仿宋" w:eastAsia="仿宋"/>
          <w:sz w:val="24"/>
        </w:rPr>
      </w:pPr>
    </w:p>
    <w:tbl>
      <w:tblPr>
        <w:tblStyle w:val="4"/>
        <w:tblW w:w="8130" w:type="dxa"/>
        <w:tblInd w:w="1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720"/>
        <w:gridCol w:w="1708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6"/>
      </w:tblGrid>
      <w:tr w14:paraId="76F00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660" w:type="dxa"/>
            <w:vMerge w:val="restart"/>
            <w:vAlign w:val="center"/>
          </w:tcPr>
          <w:p w14:paraId="749FC69D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评价项目</w:t>
            </w:r>
          </w:p>
        </w:tc>
        <w:tc>
          <w:tcPr>
            <w:tcW w:w="720" w:type="dxa"/>
            <w:vMerge w:val="restart"/>
            <w:vAlign w:val="center"/>
          </w:tcPr>
          <w:p w14:paraId="2C673E00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一级</w:t>
            </w:r>
          </w:p>
          <w:p w14:paraId="40D9D5DC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指标</w:t>
            </w:r>
          </w:p>
        </w:tc>
        <w:tc>
          <w:tcPr>
            <w:tcW w:w="1708" w:type="dxa"/>
            <w:vMerge w:val="restart"/>
            <w:vAlign w:val="center"/>
          </w:tcPr>
          <w:p w14:paraId="6F3426C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二级</w:t>
            </w:r>
          </w:p>
          <w:p w14:paraId="4ED0095A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指标</w:t>
            </w:r>
          </w:p>
        </w:tc>
        <w:tc>
          <w:tcPr>
            <w:tcW w:w="5042" w:type="dxa"/>
            <w:gridSpan w:val="10"/>
            <w:vAlign w:val="center"/>
          </w:tcPr>
          <w:p w14:paraId="64C083B6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评价分值</w:t>
            </w:r>
          </w:p>
        </w:tc>
      </w:tr>
      <w:tr w14:paraId="5D4BF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660" w:type="dxa"/>
            <w:vMerge w:val="continue"/>
            <w:vAlign w:val="center"/>
          </w:tcPr>
          <w:p w14:paraId="349EF2AF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3EC26B77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8" w:type="dxa"/>
            <w:vMerge w:val="continue"/>
            <w:vAlign w:val="center"/>
          </w:tcPr>
          <w:p w14:paraId="21E72092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48CC1C4B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</w:t>
            </w:r>
          </w:p>
        </w:tc>
        <w:tc>
          <w:tcPr>
            <w:tcW w:w="504" w:type="dxa"/>
            <w:vAlign w:val="center"/>
          </w:tcPr>
          <w:p w14:paraId="1168B45D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2</w:t>
            </w:r>
          </w:p>
        </w:tc>
        <w:tc>
          <w:tcPr>
            <w:tcW w:w="504" w:type="dxa"/>
            <w:vAlign w:val="center"/>
          </w:tcPr>
          <w:p w14:paraId="526329E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3</w:t>
            </w:r>
          </w:p>
        </w:tc>
        <w:tc>
          <w:tcPr>
            <w:tcW w:w="504" w:type="dxa"/>
            <w:vAlign w:val="center"/>
          </w:tcPr>
          <w:p w14:paraId="02FDB83B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4</w:t>
            </w:r>
          </w:p>
        </w:tc>
        <w:tc>
          <w:tcPr>
            <w:tcW w:w="504" w:type="dxa"/>
            <w:vAlign w:val="center"/>
          </w:tcPr>
          <w:p w14:paraId="12287496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5</w:t>
            </w:r>
          </w:p>
        </w:tc>
        <w:tc>
          <w:tcPr>
            <w:tcW w:w="504" w:type="dxa"/>
            <w:vAlign w:val="center"/>
          </w:tcPr>
          <w:p w14:paraId="0F0A21A5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6</w:t>
            </w:r>
          </w:p>
        </w:tc>
        <w:tc>
          <w:tcPr>
            <w:tcW w:w="504" w:type="dxa"/>
            <w:vAlign w:val="center"/>
          </w:tcPr>
          <w:p w14:paraId="6971B2B7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7</w:t>
            </w:r>
          </w:p>
        </w:tc>
        <w:tc>
          <w:tcPr>
            <w:tcW w:w="504" w:type="dxa"/>
            <w:vAlign w:val="center"/>
          </w:tcPr>
          <w:p w14:paraId="1BFB3E07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8</w:t>
            </w:r>
          </w:p>
        </w:tc>
        <w:tc>
          <w:tcPr>
            <w:tcW w:w="504" w:type="dxa"/>
            <w:vAlign w:val="center"/>
          </w:tcPr>
          <w:p w14:paraId="2020544A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9</w:t>
            </w:r>
          </w:p>
        </w:tc>
        <w:tc>
          <w:tcPr>
            <w:tcW w:w="506" w:type="dxa"/>
            <w:vAlign w:val="center"/>
          </w:tcPr>
          <w:p w14:paraId="277BDA0A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10</w:t>
            </w:r>
          </w:p>
        </w:tc>
      </w:tr>
      <w:tr w14:paraId="686C3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660" w:type="dxa"/>
            <w:vMerge w:val="restart"/>
            <w:vAlign w:val="center"/>
          </w:tcPr>
          <w:p w14:paraId="1E723B69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定</w:t>
            </w:r>
          </w:p>
          <w:p w14:paraId="67F6ED8B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量</w:t>
            </w:r>
          </w:p>
          <w:p w14:paraId="6B65240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评</w:t>
            </w:r>
          </w:p>
          <w:p w14:paraId="73333655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价</w:t>
            </w:r>
          </w:p>
        </w:tc>
        <w:tc>
          <w:tcPr>
            <w:tcW w:w="720" w:type="dxa"/>
            <w:vMerge w:val="restart"/>
            <w:vAlign w:val="center"/>
          </w:tcPr>
          <w:p w14:paraId="16F80F55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学</w:t>
            </w:r>
          </w:p>
          <w:p w14:paraId="6426B29A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生</w:t>
            </w:r>
          </w:p>
          <w:p w14:paraId="39799E79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行</w:t>
            </w:r>
          </w:p>
          <w:p w14:paraId="2FD70FD3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为</w:t>
            </w:r>
          </w:p>
        </w:tc>
        <w:tc>
          <w:tcPr>
            <w:tcW w:w="1708" w:type="dxa"/>
            <w:vAlign w:val="center"/>
          </w:tcPr>
          <w:p w14:paraId="5BF1F1B3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自主学习</w:t>
            </w:r>
          </w:p>
        </w:tc>
        <w:tc>
          <w:tcPr>
            <w:tcW w:w="504" w:type="dxa"/>
            <w:vAlign w:val="center"/>
          </w:tcPr>
          <w:p w14:paraId="0F3E0629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3C9812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59C67572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23A1656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6AF68863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1DBF0448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4F0AD436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07971FF4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11383D1A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6" w:type="dxa"/>
            <w:vAlign w:val="center"/>
          </w:tcPr>
          <w:p w14:paraId="4E97EC07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5D5654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660" w:type="dxa"/>
            <w:vMerge w:val="continue"/>
            <w:vAlign w:val="center"/>
          </w:tcPr>
          <w:p w14:paraId="21CE0FEF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8F047B6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8" w:type="dxa"/>
            <w:vAlign w:val="center"/>
          </w:tcPr>
          <w:p w14:paraId="4F1A44BE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交流讨论</w:t>
            </w:r>
          </w:p>
        </w:tc>
        <w:tc>
          <w:tcPr>
            <w:tcW w:w="504" w:type="dxa"/>
            <w:vAlign w:val="center"/>
          </w:tcPr>
          <w:p w14:paraId="3974D4BA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445FDEE7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08F88DB6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5B2BF074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73B7DE02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2093B25F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1BEA3560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762E3C2B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1B94C2E5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6" w:type="dxa"/>
            <w:vAlign w:val="center"/>
          </w:tcPr>
          <w:p w14:paraId="590BBF47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76259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660" w:type="dxa"/>
            <w:vMerge w:val="continue"/>
            <w:vAlign w:val="center"/>
          </w:tcPr>
          <w:p w14:paraId="67701F7A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034121A6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8" w:type="dxa"/>
            <w:vAlign w:val="center"/>
          </w:tcPr>
          <w:p w14:paraId="799A1A8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迁移创新</w:t>
            </w:r>
          </w:p>
        </w:tc>
        <w:tc>
          <w:tcPr>
            <w:tcW w:w="504" w:type="dxa"/>
            <w:vAlign w:val="center"/>
          </w:tcPr>
          <w:p w14:paraId="7BCA3983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64F8FD8D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004430F6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694CC98A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57FD7FD5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FB721D3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54481E27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6D416A98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578A55E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6" w:type="dxa"/>
            <w:vAlign w:val="center"/>
          </w:tcPr>
          <w:p w14:paraId="3B0A1878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3DCE7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660" w:type="dxa"/>
            <w:vMerge w:val="continue"/>
            <w:vAlign w:val="center"/>
          </w:tcPr>
          <w:p w14:paraId="74DC2FF0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3085A6A5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8" w:type="dxa"/>
            <w:vAlign w:val="center"/>
          </w:tcPr>
          <w:p w14:paraId="4441BB7A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问题生成</w:t>
            </w:r>
          </w:p>
        </w:tc>
        <w:tc>
          <w:tcPr>
            <w:tcW w:w="504" w:type="dxa"/>
            <w:vAlign w:val="center"/>
          </w:tcPr>
          <w:p w14:paraId="72CD6ADA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2A5E3F9F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351A4AC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1834E9AF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42A6F98F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56FAF5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18866BEA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48B7FD3B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25B4AEFE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6" w:type="dxa"/>
            <w:vAlign w:val="center"/>
          </w:tcPr>
          <w:p w14:paraId="26F2AD85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47C3A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660" w:type="dxa"/>
            <w:vMerge w:val="continue"/>
            <w:vAlign w:val="center"/>
          </w:tcPr>
          <w:p w14:paraId="43875785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79CC8615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8" w:type="dxa"/>
            <w:vAlign w:val="center"/>
          </w:tcPr>
          <w:p w14:paraId="2525A4C5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素养提升</w:t>
            </w:r>
          </w:p>
        </w:tc>
        <w:tc>
          <w:tcPr>
            <w:tcW w:w="504" w:type="dxa"/>
            <w:vAlign w:val="center"/>
          </w:tcPr>
          <w:p w14:paraId="670CEDC2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2B330F68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0BD6EF14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0AC83B3A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4331B9B7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5BFFA670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55E964D0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1C1CAA6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5C78542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6" w:type="dxa"/>
            <w:vAlign w:val="center"/>
          </w:tcPr>
          <w:p w14:paraId="431B2E44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267414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660" w:type="dxa"/>
            <w:vMerge w:val="continue"/>
            <w:vAlign w:val="center"/>
          </w:tcPr>
          <w:p w14:paraId="45F68D9D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5C9C12A2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教</w:t>
            </w:r>
          </w:p>
          <w:p w14:paraId="7D95DB47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师</w:t>
            </w:r>
          </w:p>
          <w:p w14:paraId="5F194FF3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行</w:t>
            </w:r>
          </w:p>
          <w:p w14:paraId="6FC0DE5C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为</w:t>
            </w:r>
          </w:p>
        </w:tc>
        <w:tc>
          <w:tcPr>
            <w:tcW w:w="1708" w:type="dxa"/>
            <w:vAlign w:val="center"/>
          </w:tcPr>
          <w:p w14:paraId="3059FBCF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教学设计</w:t>
            </w:r>
          </w:p>
        </w:tc>
        <w:tc>
          <w:tcPr>
            <w:tcW w:w="504" w:type="dxa"/>
            <w:vAlign w:val="center"/>
          </w:tcPr>
          <w:p w14:paraId="6271B540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5C52CEE5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57A613A2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0426E3F2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3CA7986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4849A29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56DCF1C5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642C102E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CA2D4EA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6" w:type="dxa"/>
            <w:vAlign w:val="center"/>
          </w:tcPr>
          <w:p w14:paraId="65554419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18F32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660" w:type="dxa"/>
            <w:vMerge w:val="continue"/>
            <w:vAlign w:val="center"/>
          </w:tcPr>
          <w:p w14:paraId="643FB2F3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1D4AD48A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8" w:type="dxa"/>
            <w:vAlign w:val="center"/>
          </w:tcPr>
          <w:p w14:paraId="43160DB8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讨论指导</w:t>
            </w:r>
          </w:p>
        </w:tc>
        <w:tc>
          <w:tcPr>
            <w:tcW w:w="504" w:type="dxa"/>
            <w:vAlign w:val="center"/>
          </w:tcPr>
          <w:p w14:paraId="01CE28AE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56A6C0B6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4FD930D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0166958D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7E0980C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7F5EC513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03DE2FAB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79820C5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09CBFCA6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6" w:type="dxa"/>
            <w:vAlign w:val="center"/>
          </w:tcPr>
          <w:p w14:paraId="67F85FAE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75386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660" w:type="dxa"/>
            <w:vMerge w:val="continue"/>
            <w:vAlign w:val="center"/>
          </w:tcPr>
          <w:p w14:paraId="380E66EF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FA6B47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8" w:type="dxa"/>
            <w:vAlign w:val="center"/>
          </w:tcPr>
          <w:p w14:paraId="0BD331A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迁移创新</w:t>
            </w:r>
          </w:p>
        </w:tc>
        <w:tc>
          <w:tcPr>
            <w:tcW w:w="504" w:type="dxa"/>
            <w:vAlign w:val="center"/>
          </w:tcPr>
          <w:p w14:paraId="742F644F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21B0AE6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584F71C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6A1D1288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00A9AAE4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419B0B8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7FA07672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29A423AB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6F2EC10A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6" w:type="dxa"/>
            <w:vAlign w:val="center"/>
          </w:tcPr>
          <w:p w14:paraId="49E29C33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5E4E2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660" w:type="dxa"/>
            <w:vMerge w:val="continue"/>
            <w:vAlign w:val="center"/>
          </w:tcPr>
          <w:p w14:paraId="04BEA090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3B1BAF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8" w:type="dxa"/>
            <w:vAlign w:val="center"/>
          </w:tcPr>
          <w:p w14:paraId="14742B2D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反思引导</w:t>
            </w:r>
          </w:p>
        </w:tc>
        <w:tc>
          <w:tcPr>
            <w:tcW w:w="504" w:type="dxa"/>
            <w:vAlign w:val="center"/>
          </w:tcPr>
          <w:p w14:paraId="0B85617F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27EAD60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0F2794B3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01AA7B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44FC29C0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F987FD8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02279D30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695C8F1F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6E8D05C0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6" w:type="dxa"/>
            <w:vAlign w:val="center"/>
          </w:tcPr>
          <w:p w14:paraId="3B2EE8C4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428E2E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660" w:type="dxa"/>
            <w:vMerge w:val="continue"/>
            <w:vAlign w:val="center"/>
          </w:tcPr>
          <w:p w14:paraId="1B0D2F9E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721C3928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8" w:type="dxa"/>
            <w:vAlign w:val="center"/>
          </w:tcPr>
          <w:p w14:paraId="0D39B588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课堂生成</w:t>
            </w:r>
          </w:p>
        </w:tc>
        <w:tc>
          <w:tcPr>
            <w:tcW w:w="504" w:type="dxa"/>
            <w:vAlign w:val="center"/>
          </w:tcPr>
          <w:p w14:paraId="5A46CEF8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E8A5F3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7F5E4B2F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1815CC7D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364200BF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74E2E696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267578A5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29A34589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" w:type="dxa"/>
            <w:vAlign w:val="center"/>
          </w:tcPr>
          <w:p w14:paraId="07971B9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6" w:type="dxa"/>
            <w:vAlign w:val="center"/>
          </w:tcPr>
          <w:p w14:paraId="7418AC43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43EEB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660" w:type="dxa"/>
            <w:vMerge w:val="continue"/>
            <w:vAlign w:val="center"/>
          </w:tcPr>
          <w:p w14:paraId="40771E20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428" w:type="dxa"/>
            <w:gridSpan w:val="2"/>
            <w:vAlign w:val="center"/>
          </w:tcPr>
          <w:p w14:paraId="6C7FB024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合计</w:t>
            </w:r>
          </w:p>
        </w:tc>
        <w:tc>
          <w:tcPr>
            <w:tcW w:w="5042" w:type="dxa"/>
            <w:gridSpan w:val="10"/>
            <w:vAlign w:val="center"/>
          </w:tcPr>
          <w:p w14:paraId="1E1E5823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23C33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660" w:type="dxa"/>
            <w:vMerge w:val="restart"/>
            <w:vAlign w:val="center"/>
          </w:tcPr>
          <w:p w14:paraId="2299F38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定</w:t>
            </w:r>
          </w:p>
          <w:p w14:paraId="358C601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性</w:t>
            </w:r>
          </w:p>
          <w:p w14:paraId="1CDD893D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评</w:t>
            </w:r>
          </w:p>
          <w:p w14:paraId="79F4B5FB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价</w:t>
            </w:r>
          </w:p>
        </w:tc>
        <w:tc>
          <w:tcPr>
            <w:tcW w:w="2428" w:type="dxa"/>
            <w:gridSpan w:val="2"/>
            <w:vAlign w:val="center"/>
          </w:tcPr>
          <w:p w14:paraId="1101C43C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特色亮点</w:t>
            </w:r>
          </w:p>
        </w:tc>
        <w:tc>
          <w:tcPr>
            <w:tcW w:w="5042" w:type="dxa"/>
            <w:gridSpan w:val="10"/>
            <w:vAlign w:val="center"/>
          </w:tcPr>
          <w:p w14:paraId="66E61D4A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改进建议</w:t>
            </w:r>
          </w:p>
        </w:tc>
      </w:tr>
      <w:tr w14:paraId="05F52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660" w:type="dxa"/>
            <w:vMerge w:val="continue"/>
            <w:vAlign w:val="center"/>
          </w:tcPr>
          <w:p w14:paraId="5C656E67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428" w:type="dxa"/>
            <w:gridSpan w:val="2"/>
            <w:vAlign w:val="center"/>
          </w:tcPr>
          <w:p w14:paraId="660DAEE4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  <w:p w14:paraId="63CB3B2C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  <w:p w14:paraId="4F07CE49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  <w:p w14:paraId="0CD0D601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5042" w:type="dxa"/>
            <w:gridSpan w:val="10"/>
            <w:vAlign w:val="center"/>
          </w:tcPr>
          <w:p w14:paraId="4E51994D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4972F7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660" w:type="dxa"/>
            <w:vAlign w:val="center"/>
          </w:tcPr>
          <w:p w14:paraId="0679E26C">
            <w:pPr>
              <w:spacing w:line="360" w:lineRule="auto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评价讨论</w:t>
            </w:r>
          </w:p>
        </w:tc>
        <w:tc>
          <w:tcPr>
            <w:tcW w:w="7470" w:type="dxa"/>
            <w:gridSpan w:val="12"/>
            <w:vAlign w:val="center"/>
          </w:tcPr>
          <w:p w14:paraId="334D997E">
            <w:pPr>
              <w:spacing w:line="360" w:lineRule="auto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□优秀（≥90）   □良好（80～89</w:t>
            </w:r>
            <w:r>
              <w:rPr>
                <w:rFonts w:ascii="仿宋" w:hAnsi="仿宋" w:eastAsia="仿宋"/>
                <w:sz w:val="24"/>
              </w:rPr>
              <w:t>）</w:t>
            </w:r>
          </w:p>
          <w:p w14:paraId="53F2E14B">
            <w:pPr>
              <w:spacing w:line="360" w:lineRule="auto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□一般（60～79） □待提高（＜60</w:t>
            </w:r>
            <w:r>
              <w:rPr>
                <w:rFonts w:ascii="仿宋" w:hAnsi="仿宋" w:eastAsia="仿宋"/>
                <w:sz w:val="24"/>
              </w:rPr>
              <w:t>）</w:t>
            </w:r>
          </w:p>
        </w:tc>
      </w:tr>
    </w:tbl>
    <w:p w14:paraId="7B2C295C">
      <w:pPr>
        <w:rPr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2NmEwZmEyNGQ3MWM2ZWQ1OTVkZTA2ZGNmMzkxYmMifQ=="/>
  </w:docVars>
  <w:rsids>
    <w:rsidRoot w:val="004612BA"/>
    <w:rsid w:val="000C2AC0"/>
    <w:rsid w:val="001110B7"/>
    <w:rsid w:val="001425A9"/>
    <w:rsid w:val="00155688"/>
    <w:rsid w:val="001A43CA"/>
    <w:rsid w:val="00275501"/>
    <w:rsid w:val="002916FC"/>
    <w:rsid w:val="002F2CDD"/>
    <w:rsid w:val="003607F1"/>
    <w:rsid w:val="00415DF4"/>
    <w:rsid w:val="004612BA"/>
    <w:rsid w:val="004A3B2E"/>
    <w:rsid w:val="00532F84"/>
    <w:rsid w:val="0062552D"/>
    <w:rsid w:val="006318F6"/>
    <w:rsid w:val="006B7BAC"/>
    <w:rsid w:val="007024A6"/>
    <w:rsid w:val="00764A02"/>
    <w:rsid w:val="007734AB"/>
    <w:rsid w:val="007A12F0"/>
    <w:rsid w:val="007B7466"/>
    <w:rsid w:val="007F232B"/>
    <w:rsid w:val="0083267F"/>
    <w:rsid w:val="00852811"/>
    <w:rsid w:val="008E0DB3"/>
    <w:rsid w:val="008F23CE"/>
    <w:rsid w:val="00925FAA"/>
    <w:rsid w:val="00A01653"/>
    <w:rsid w:val="00A707A3"/>
    <w:rsid w:val="00A71D70"/>
    <w:rsid w:val="00B00136"/>
    <w:rsid w:val="00C1411D"/>
    <w:rsid w:val="00C40669"/>
    <w:rsid w:val="00C417F5"/>
    <w:rsid w:val="00E91F73"/>
    <w:rsid w:val="00EA0B67"/>
    <w:rsid w:val="00EB2B2F"/>
    <w:rsid w:val="00F86D6D"/>
    <w:rsid w:val="08E13177"/>
    <w:rsid w:val="3384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Char"/>
    <w:basedOn w:val="5"/>
    <w:link w:val="3"/>
    <w:autoRedefine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3236</Words>
  <Characters>3265</Characters>
  <Lines>26</Lines>
  <Paragraphs>7</Paragraphs>
  <TotalTime>374</TotalTime>
  <ScaleCrop>false</ScaleCrop>
  <LinksUpToDate>false</LinksUpToDate>
  <CharactersWithSpaces>3391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2022-02-10T23:51:00Z</dcterms:created>
  <dc:creator>AutoBVT</dc:creator>
  <cp:lastModifiedBy>云上江江</cp:lastModifiedBy>
  <dcterms:modified xsi:type="dcterms:W3CDTF">2025-02-10T11:50:11Z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18F2BC59374E48F6955100A79EAB61A6_13</vt:lpwstr>
  </property>
</Properties>
</file>